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B" w:rsidRDefault="00092C46">
      <w:pPr>
        <w:widowControl/>
        <w:shd w:val="clear" w:color="auto" w:fill="FFFFFF"/>
        <w:spacing w:line="510" w:lineRule="atLeast"/>
        <w:jc w:val="center"/>
        <w:rPr>
          <w:rFonts w:ascii="Arial" w:eastAsia="宋体" w:hAnsi="Arial" w:cs="Arial"/>
          <w:color w:val="222222"/>
          <w:kern w:val="0"/>
          <w:sz w:val="44"/>
          <w:szCs w:val="44"/>
        </w:rPr>
      </w:pPr>
      <w:r>
        <w:rPr>
          <w:rFonts w:ascii="Arial" w:eastAsia="宋体" w:hAnsi="Arial" w:cs="Arial"/>
          <w:color w:val="222222"/>
          <w:kern w:val="0"/>
          <w:sz w:val="44"/>
          <w:szCs w:val="44"/>
        </w:rPr>
        <w:t>广东</w:t>
      </w:r>
      <w:r>
        <w:rPr>
          <w:rFonts w:ascii="Arial" w:eastAsia="宋体" w:hAnsi="Arial" w:cs="Arial" w:hint="eastAsia"/>
          <w:color w:val="222222"/>
          <w:kern w:val="0"/>
          <w:sz w:val="44"/>
          <w:szCs w:val="44"/>
        </w:rPr>
        <w:t>揭阳</w:t>
      </w:r>
      <w:r>
        <w:rPr>
          <w:rFonts w:ascii="Arial" w:eastAsia="宋体" w:hAnsi="Arial" w:cs="Arial"/>
          <w:color w:val="222222"/>
          <w:kern w:val="0"/>
          <w:sz w:val="44"/>
          <w:szCs w:val="44"/>
        </w:rPr>
        <w:t>农村商业银行股份有限公司</w:t>
      </w:r>
    </w:p>
    <w:p w:rsidR="00A0603B" w:rsidRDefault="00092C46">
      <w:pPr>
        <w:widowControl/>
        <w:shd w:val="clear" w:color="auto" w:fill="FFFFFF"/>
        <w:spacing w:line="510" w:lineRule="atLeast"/>
        <w:jc w:val="center"/>
        <w:rPr>
          <w:rFonts w:ascii="Arial" w:eastAsia="宋体" w:hAnsi="Arial" w:cs="Arial"/>
          <w:color w:val="222222"/>
          <w:kern w:val="0"/>
          <w:sz w:val="44"/>
          <w:szCs w:val="44"/>
        </w:rPr>
      </w:pPr>
      <w:r>
        <w:rPr>
          <w:rFonts w:ascii="Arial" w:eastAsia="宋体" w:hAnsi="Arial" w:cs="Arial"/>
          <w:color w:val="222222"/>
          <w:kern w:val="0"/>
          <w:sz w:val="44"/>
          <w:szCs w:val="44"/>
        </w:rPr>
        <w:t>关于关联交易事项的公告</w:t>
      </w:r>
      <w:r>
        <w:rPr>
          <w:rFonts w:ascii="Arial" w:eastAsia="宋体" w:hAnsi="Arial" w:cs="Arial" w:hint="eastAsia"/>
          <w:color w:val="222222"/>
          <w:kern w:val="0"/>
          <w:sz w:val="44"/>
          <w:szCs w:val="44"/>
        </w:rPr>
        <w:t>（</w:t>
      </w:r>
      <w:r>
        <w:rPr>
          <w:rFonts w:ascii="Arial" w:eastAsia="宋体" w:hAnsi="Arial" w:cs="Arial" w:hint="eastAsia"/>
          <w:color w:val="222222"/>
          <w:kern w:val="0"/>
          <w:sz w:val="44"/>
          <w:szCs w:val="44"/>
        </w:rPr>
        <w:t>七）</w:t>
      </w:r>
    </w:p>
    <w:p w:rsidR="00A0603B" w:rsidRDefault="00092C46">
      <w:pPr>
        <w:widowControl/>
        <w:shd w:val="clear" w:color="auto" w:fill="FFFFFF"/>
        <w:spacing w:line="600" w:lineRule="exact"/>
        <w:ind w:firstLine="640"/>
        <w:rPr>
          <w:rFonts w:ascii="Arial" w:eastAsia="宋体" w:hAnsi="Arial" w:cs="Arial"/>
          <w:color w:val="424242"/>
          <w:kern w:val="0"/>
          <w:szCs w:val="21"/>
        </w:rPr>
      </w:pPr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>根据《银行保险机构关联交易管理办法》（中国银行保险监督管理委员会令〔</w:t>
      </w:r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>2022</w:t>
      </w:r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>〕</w:t>
      </w:r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>号）第五十三条和第五十六条规定，广东</w:t>
      </w:r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>揭阳</w:t>
      </w:r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>农村商业银行股份有限公司（以下简称“本行”）就重大关联交易信息披露如下：</w:t>
      </w:r>
    </w:p>
    <w:p w:rsidR="00A0603B" w:rsidRDefault="00092C46">
      <w:pPr>
        <w:widowControl/>
        <w:shd w:val="clear" w:color="auto" w:fill="FFFFFF"/>
        <w:spacing w:line="600" w:lineRule="exact"/>
        <w:ind w:firstLine="640"/>
        <w:rPr>
          <w:rFonts w:ascii="Arial" w:eastAsia="宋体" w:hAnsi="Arial" w:cs="Arial"/>
          <w:color w:val="424242"/>
          <w:kern w:val="0"/>
          <w:szCs w:val="21"/>
        </w:rPr>
      </w:pPr>
      <w:r>
        <w:rPr>
          <w:rFonts w:ascii="黑体" w:eastAsia="黑体" w:hAnsi="黑体" w:cs="Arial" w:hint="eastAsia"/>
          <w:color w:val="424242"/>
          <w:kern w:val="0"/>
          <w:sz w:val="32"/>
          <w:szCs w:val="32"/>
        </w:rPr>
        <w:t>一、关联交易概述及交易标的</w:t>
      </w:r>
    </w:p>
    <w:p w:rsidR="00A0603B" w:rsidRDefault="00092C46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>本次关联交易主要内容为同意</w:t>
      </w:r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>向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广东国鑫实业股份有限公司发放还旧借新贷款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9600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万元的关联交易</w:t>
      </w:r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>，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期限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1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年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,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担保方式为抵押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A0603B" w:rsidRDefault="00092C46">
      <w:pPr>
        <w:widowControl/>
        <w:shd w:val="clear" w:color="auto" w:fill="FFFFFF"/>
        <w:spacing w:line="600" w:lineRule="exact"/>
        <w:ind w:firstLine="640"/>
        <w:rPr>
          <w:rFonts w:ascii="Arial" w:eastAsia="宋体" w:hAnsi="Arial" w:cs="Arial"/>
          <w:color w:val="424242"/>
          <w:kern w:val="0"/>
          <w:szCs w:val="21"/>
        </w:rPr>
      </w:pPr>
      <w:r>
        <w:rPr>
          <w:rFonts w:ascii="黑体" w:eastAsia="黑体" w:hAnsi="黑体" w:cs="Arial" w:hint="eastAsia"/>
          <w:color w:val="424242"/>
          <w:kern w:val="0"/>
          <w:sz w:val="32"/>
          <w:szCs w:val="32"/>
        </w:rPr>
        <w:t>二、关联方介绍</w:t>
      </w:r>
    </w:p>
    <w:p w:rsidR="00A0603B" w:rsidRDefault="00092C46">
      <w:pPr>
        <w:widowControl/>
        <w:shd w:val="clear" w:color="auto" w:fill="FFFFFF"/>
        <w:spacing w:line="600" w:lineRule="exact"/>
        <w:ind w:firstLine="640"/>
        <w:rPr>
          <w:rFonts w:ascii="Arial" w:eastAsia="宋体" w:hAnsi="Arial" w:cs="Arial"/>
          <w:color w:val="424242"/>
          <w:kern w:val="0"/>
          <w:szCs w:val="21"/>
        </w:rPr>
      </w:pPr>
      <w:r>
        <w:rPr>
          <w:rFonts w:ascii="楷体" w:eastAsia="楷体" w:hAnsi="楷体" w:cs="Arial" w:hint="eastAsia"/>
          <w:color w:val="424242"/>
          <w:kern w:val="0"/>
          <w:sz w:val="32"/>
          <w:szCs w:val="32"/>
        </w:rPr>
        <w:t>（一）关联方关系介绍。</w:t>
      </w:r>
    </w:p>
    <w:p w:rsidR="00A0603B" w:rsidRDefault="00092C46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Arial" w:cs="Arial"/>
          <w:kern w:val="0"/>
          <w:sz w:val="32"/>
          <w:szCs w:val="32"/>
        </w:rPr>
        <w:t>广东华大不锈钢有限公司为本行主要股东，广东国鑫实业股份有限公司是广东华大不锈钢有限公司关联方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A0603B" w:rsidRDefault="00092C46">
      <w:pPr>
        <w:widowControl/>
        <w:shd w:val="clear" w:color="auto" w:fill="FFFFFF"/>
        <w:spacing w:line="600" w:lineRule="exact"/>
        <w:ind w:firstLine="640"/>
        <w:rPr>
          <w:rFonts w:ascii="Arial" w:eastAsia="宋体" w:hAnsi="Arial" w:cs="Arial"/>
          <w:color w:val="424242"/>
          <w:kern w:val="0"/>
          <w:szCs w:val="21"/>
        </w:rPr>
      </w:pPr>
      <w:r>
        <w:rPr>
          <w:rFonts w:ascii="楷体" w:eastAsia="楷体" w:hAnsi="楷体" w:cs="Arial" w:hint="eastAsia"/>
          <w:color w:val="424242"/>
          <w:kern w:val="0"/>
          <w:sz w:val="32"/>
          <w:szCs w:val="32"/>
        </w:rPr>
        <w:t>（二）关联人基本情况。</w:t>
      </w:r>
    </w:p>
    <w:p w:rsidR="00A0603B" w:rsidRDefault="00092C46">
      <w:pPr>
        <w:widowControl/>
        <w:shd w:val="clear" w:color="auto" w:fill="FFFFFF"/>
        <w:spacing w:line="600" w:lineRule="exact"/>
        <w:ind w:firstLine="640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广东国鑫实业股份有限公司，性质为股份有限公司，经营范围：冶金生产及其生产的钢坯、工业及建筑用钢材、不锈钢板、金属制品及金属铸造产品销售；研发、加工、销售高炉废矿渣；普通货物仓储；普通货物运输；货物装卸服务；码头投资；废钢铁收购；金属废料和碎屑加工处理。（依法须经批准的项目，经相关部门批准后方可开展经营活动。法定代表人：蔡耿烽。注册地：揭阳空港经济区滨海科技园。注册资本：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30000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万元人民币，报告期内注册资本没变化。</w:t>
      </w:r>
    </w:p>
    <w:p w:rsidR="00A0603B" w:rsidRDefault="00092C46">
      <w:pPr>
        <w:widowControl/>
        <w:shd w:val="clear" w:color="auto" w:fill="FFFFFF"/>
        <w:spacing w:line="600" w:lineRule="exact"/>
        <w:ind w:firstLine="640"/>
        <w:rPr>
          <w:rFonts w:ascii="Arial" w:eastAsia="宋体" w:hAnsi="Arial" w:cs="Arial"/>
          <w:color w:val="424242"/>
          <w:kern w:val="0"/>
          <w:szCs w:val="21"/>
        </w:rPr>
      </w:pPr>
      <w:r>
        <w:rPr>
          <w:rFonts w:ascii="黑体" w:eastAsia="黑体" w:hAnsi="黑体" w:cs="Arial" w:hint="eastAsia"/>
          <w:color w:val="424242"/>
          <w:kern w:val="0"/>
          <w:sz w:val="32"/>
          <w:szCs w:val="32"/>
        </w:rPr>
        <w:lastRenderedPageBreak/>
        <w:t>三、关联交易的定价政策</w:t>
      </w:r>
    </w:p>
    <w:p w:rsidR="00A0603B" w:rsidRDefault="00092C46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本行与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广东国鑫实业股份有限公司</w:t>
      </w:r>
      <w:r>
        <w:rPr>
          <w:rFonts w:ascii="仿宋_GB2312" w:eastAsia="仿宋_GB2312" w:hAnsi="Calibri" w:cs="Times New Roman" w:hint="eastAsia"/>
          <w:sz w:val="32"/>
          <w:szCs w:val="32"/>
        </w:rPr>
        <w:t>的关联交易按一般的商业条款原则进行，遵</w:t>
      </w:r>
      <w:r>
        <w:rPr>
          <w:rFonts w:ascii="仿宋_GB2312" w:eastAsia="仿宋_GB2312" w:hAnsi="Calibri" w:cs="Times New Roman" w:hint="eastAsia"/>
          <w:sz w:val="32"/>
          <w:szCs w:val="32"/>
        </w:rPr>
        <w:t>循利率政策以及本行同类产品定价相关管理制度，以不优于对非关联方同类交易的条件，关联交易价格公允，并遵循公平公正原则。</w:t>
      </w:r>
    </w:p>
    <w:p w:rsidR="00A0603B" w:rsidRDefault="00092C46">
      <w:pPr>
        <w:widowControl/>
        <w:shd w:val="clear" w:color="auto" w:fill="FFFFFF"/>
        <w:spacing w:line="600" w:lineRule="exact"/>
        <w:ind w:firstLine="640"/>
        <w:rPr>
          <w:rFonts w:ascii="Arial" w:eastAsia="宋体" w:hAnsi="Arial" w:cs="Arial"/>
          <w:color w:val="424242"/>
          <w:kern w:val="0"/>
          <w:szCs w:val="21"/>
        </w:rPr>
      </w:pPr>
      <w:r>
        <w:rPr>
          <w:rFonts w:ascii="黑体" w:eastAsia="黑体" w:hAnsi="黑体" w:cs="Arial" w:hint="eastAsia"/>
          <w:color w:val="424242"/>
          <w:kern w:val="0"/>
          <w:sz w:val="32"/>
          <w:szCs w:val="32"/>
        </w:rPr>
        <w:t>四、关联交易金额及比例</w:t>
      </w:r>
    </w:p>
    <w:p w:rsidR="00A0603B" w:rsidRDefault="00092C46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本次与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广东国鑫实业股份有限公司</w:t>
      </w:r>
      <w:r>
        <w:rPr>
          <w:rFonts w:ascii="仿宋_GB2312" w:eastAsia="仿宋_GB2312" w:hAnsi="Calibri" w:cs="Times New Roman" w:hint="eastAsia"/>
          <w:sz w:val="32"/>
          <w:szCs w:val="32"/>
        </w:rPr>
        <w:t>的单笔交易金额为</w:t>
      </w:r>
      <w:r>
        <w:rPr>
          <w:rFonts w:ascii="仿宋_GB2312" w:eastAsia="仿宋_GB2312" w:hAnsi="Calibri" w:cs="Times New Roman" w:hint="eastAsia"/>
          <w:sz w:val="32"/>
          <w:szCs w:val="32"/>
        </w:rPr>
        <w:t>9600</w:t>
      </w:r>
      <w:r>
        <w:rPr>
          <w:rFonts w:ascii="仿宋_GB2312" w:eastAsia="仿宋_GB2312" w:hAnsi="Calibri" w:cs="Times New Roman" w:hint="eastAsia"/>
          <w:sz w:val="32"/>
          <w:szCs w:val="32"/>
        </w:rPr>
        <w:t>万元，占本行上季末资本净额</w:t>
      </w:r>
      <w:r>
        <w:rPr>
          <w:rFonts w:ascii="仿宋_GB2312" w:eastAsia="仿宋_GB2312" w:hAnsi="仿宋_GB2312" w:hint="eastAsia"/>
          <w:sz w:val="32"/>
          <w:szCs w:val="32"/>
        </w:rPr>
        <w:t>173795.40</w:t>
      </w:r>
      <w:r>
        <w:rPr>
          <w:rFonts w:ascii="仿宋_GB2312" w:eastAsia="仿宋_GB2312" w:hAnsi="仿宋_GB2312" w:hint="eastAsia"/>
          <w:sz w:val="32"/>
          <w:szCs w:val="32"/>
        </w:rPr>
        <w:t>万元的</w:t>
      </w:r>
      <w:r>
        <w:rPr>
          <w:rFonts w:ascii="仿宋_GB2312" w:eastAsia="仿宋_GB2312" w:hAnsi="仿宋_GB2312" w:hint="eastAsia"/>
          <w:sz w:val="32"/>
          <w:szCs w:val="32"/>
        </w:rPr>
        <w:t>5.52%</w:t>
      </w:r>
      <w:r>
        <w:rPr>
          <w:rFonts w:ascii="仿宋_GB2312" w:eastAsia="仿宋_GB2312" w:hAnsi="Calibri" w:cs="Times New Roman" w:hint="eastAsia"/>
          <w:sz w:val="32"/>
          <w:szCs w:val="32"/>
        </w:rPr>
        <w:t>，属于重大关联交易。</w:t>
      </w:r>
    </w:p>
    <w:p w:rsidR="00A0603B" w:rsidRDefault="00092C46">
      <w:pPr>
        <w:widowControl/>
        <w:shd w:val="clear" w:color="auto" w:fill="FFFFFF"/>
        <w:spacing w:line="600" w:lineRule="exact"/>
        <w:ind w:firstLine="640"/>
        <w:rPr>
          <w:rFonts w:ascii="Arial" w:eastAsia="宋体" w:hAnsi="Arial" w:cs="Arial"/>
          <w:color w:val="424242"/>
          <w:kern w:val="0"/>
          <w:szCs w:val="21"/>
        </w:rPr>
      </w:pPr>
      <w:r>
        <w:rPr>
          <w:rFonts w:ascii="黑体" w:eastAsia="黑体" w:hAnsi="黑体" w:cs="Arial" w:hint="eastAsia"/>
          <w:color w:val="424242"/>
          <w:kern w:val="0"/>
          <w:sz w:val="32"/>
          <w:szCs w:val="32"/>
        </w:rPr>
        <w:t>五</w:t>
      </w:r>
      <w:r>
        <w:rPr>
          <w:rFonts w:ascii="黑体" w:eastAsia="黑体" w:hAnsi="黑体" w:cs="Arial" w:hint="eastAsia"/>
          <w:color w:val="424242"/>
          <w:kern w:val="0"/>
          <w:sz w:val="32"/>
          <w:szCs w:val="32"/>
        </w:rPr>
        <w:t>、</w:t>
      </w:r>
      <w:r>
        <w:rPr>
          <w:rFonts w:ascii="黑体" w:eastAsia="黑体" w:hAnsi="黑体" w:cs="Arial" w:hint="eastAsia"/>
          <w:color w:val="424242"/>
          <w:kern w:val="0"/>
          <w:sz w:val="32"/>
          <w:szCs w:val="32"/>
        </w:rPr>
        <w:t>有关决议</w:t>
      </w:r>
      <w:r>
        <w:rPr>
          <w:rFonts w:ascii="黑体" w:eastAsia="黑体" w:hAnsi="黑体" w:cs="Arial" w:hint="eastAsia"/>
          <w:color w:val="424242"/>
          <w:kern w:val="0"/>
          <w:sz w:val="32"/>
          <w:szCs w:val="32"/>
        </w:rPr>
        <w:t>程序</w:t>
      </w:r>
    </w:p>
    <w:p w:rsidR="00A0603B" w:rsidRDefault="00092C46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本次关联交易经董事会关联交易控制委员会审查通过，并经第四届董事会第九次（临时）会议审批通过。</w:t>
      </w:r>
    </w:p>
    <w:p w:rsidR="00A0603B" w:rsidRDefault="00092C46">
      <w:pPr>
        <w:widowControl/>
        <w:shd w:val="clear" w:color="auto" w:fill="FFFFFF"/>
        <w:spacing w:line="600" w:lineRule="exact"/>
        <w:ind w:firstLine="640"/>
        <w:rPr>
          <w:rFonts w:ascii="Arial" w:eastAsia="宋体" w:hAnsi="Arial" w:cs="Arial"/>
          <w:color w:val="424242"/>
          <w:kern w:val="0"/>
          <w:szCs w:val="21"/>
        </w:rPr>
      </w:pPr>
      <w:r>
        <w:rPr>
          <w:rFonts w:ascii="黑体" w:eastAsia="黑体" w:hAnsi="黑体" w:cs="Arial" w:hint="eastAsia"/>
          <w:color w:val="424242"/>
          <w:kern w:val="0"/>
          <w:sz w:val="32"/>
          <w:szCs w:val="32"/>
        </w:rPr>
        <w:t>六</w:t>
      </w:r>
      <w:r>
        <w:rPr>
          <w:rFonts w:ascii="黑体" w:eastAsia="黑体" w:hAnsi="黑体" w:cs="Arial" w:hint="eastAsia"/>
          <w:color w:val="424242"/>
          <w:kern w:val="0"/>
          <w:sz w:val="32"/>
          <w:szCs w:val="32"/>
        </w:rPr>
        <w:t>、独立董事意见</w:t>
      </w:r>
    </w:p>
    <w:p w:rsidR="00A0603B" w:rsidRDefault="00092C46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本行全体独立董事对上述关联交易发表意见如下：</w:t>
      </w:r>
    </w:p>
    <w:p w:rsidR="00A0603B" w:rsidRDefault="00092C46">
      <w:pPr>
        <w:widowControl/>
        <w:shd w:val="clear" w:color="auto" w:fill="FFFFFF"/>
        <w:spacing w:line="600" w:lineRule="exact"/>
        <w:ind w:firstLine="640"/>
        <w:rPr>
          <w:rFonts w:ascii="Arial" w:eastAsia="宋体" w:hAnsi="Arial" w:cs="Arial"/>
          <w:color w:val="424242"/>
          <w:kern w:val="0"/>
          <w:szCs w:val="21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本行与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广东国鑫实业股份有限公司</w:t>
      </w:r>
      <w:r>
        <w:rPr>
          <w:rFonts w:ascii="仿宋_GB2312" w:eastAsia="仿宋_GB2312" w:hAnsi="Calibri" w:cs="Times New Roman" w:hint="eastAsia"/>
          <w:sz w:val="32"/>
          <w:szCs w:val="32"/>
        </w:rPr>
        <w:t>9600</w:t>
      </w:r>
      <w:r>
        <w:rPr>
          <w:rFonts w:ascii="仿宋_GB2312" w:eastAsia="仿宋_GB2312" w:hAnsi="Calibri" w:cs="Times New Roman" w:hint="eastAsia"/>
          <w:sz w:val="32"/>
          <w:szCs w:val="32"/>
        </w:rPr>
        <w:t>万元人民币的关联交易属于本行正常业务，定价以不优于对非关联方同类交易的条件进行，符合公司和全体股东的利益，且不会对本行独立性构成影响，符合《广东揭阳农村商业银行股份有限公司章程》、本行关联交易管理及其他内部制度相关规定，依规履行了相关程序</w:t>
      </w:r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>。</w:t>
      </w:r>
    </w:p>
    <w:p w:rsidR="00A0603B" w:rsidRDefault="00092C46">
      <w:pPr>
        <w:widowControl/>
        <w:shd w:val="clear" w:color="auto" w:fill="FFFFFF"/>
        <w:spacing w:line="600" w:lineRule="exact"/>
        <w:ind w:firstLine="640"/>
        <w:rPr>
          <w:rFonts w:ascii="Arial" w:eastAsia="宋体" w:hAnsi="Arial" w:cs="Arial"/>
          <w:color w:val="424242"/>
          <w:kern w:val="0"/>
          <w:szCs w:val="21"/>
        </w:rPr>
      </w:pPr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>特此公告。</w:t>
      </w:r>
    </w:p>
    <w:p w:rsidR="00A0603B" w:rsidRDefault="00092C46">
      <w:pPr>
        <w:widowControl/>
        <w:shd w:val="clear" w:color="auto" w:fill="FFFFFF"/>
        <w:spacing w:line="600" w:lineRule="exact"/>
        <w:ind w:firstLine="2880"/>
        <w:rPr>
          <w:rFonts w:ascii="Arial" w:eastAsia="宋体" w:hAnsi="Arial" w:cs="Arial"/>
          <w:color w:val="424242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>广东</w:t>
      </w:r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>揭阳</w:t>
      </w:r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>农村商业银行股份有限公司</w:t>
      </w:r>
    </w:p>
    <w:p w:rsidR="00A0603B" w:rsidRDefault="00092C46">
      <w:pPr>
        <w:widowControl/>
        <w:shd w:val="clear" w:color="auto" w:fill="FFFFFF"/>
        <w:spacing w:line="600" w:lineRule="exact"/>
        <w:ind w:firstLine="4480"/>
      </w:pPr>
      <w:bookmarkStart w:id="0" w:name="_GoBack"/>
      <w:bookmarkEnd w:id="0"/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 xml:space="preserve"> 202</w:t>
      </w:r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>4</w:t>
      </w:r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>年</w:t>
      </w:r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>月</w:t>
      </w:r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>23</w:t>
      </w:r>
      <w:r>
        <w:rPr>
          <w:rFonts w:ascii="仿宋_GB2312" w:eastAsia="仿宋_GB2312" w:hAnsi="Arial" w:cs="Arial" w:hint="eastAsia"/>
          <w:color w:val="424242"/>
          <w:kern w:val="0"/>
          <w:sz w:val="32"/>
          <w:szCs w:val="32"/>
        </w:rPr>
        <w:t>日</w:t>
      </w:r>
    </w:p>
    <w:sectPr w:rsidR="00A0603B" w:rsidSect="00A06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6005"/>
    <w:rsid w:val="00001119"/>
    <w:rsid w:val="00092C46"/>
    <w:rsid w:val="008F6005"/>
    <w:rsid w:val="00A0603B"/>
    <w:rsid w:val="00E91DBD"/>
    <w:rsid w:val="082B1F6A"/>
    <w:rsid w:val="16185433"/>
    <w:rsid w:val="20BB4814"/>
    <w:rsid w:val="37FD5A21"/>
    <w:rsid w:val="383D1EDA"/>
    <w:rsid w:val="3C0F75FB"/>
    <w:rsid w:val="47C0523C"/>
    <w:rsid w:val="482F282D"/>
    <w:rsid w:val="60F52A7E"/>
    <w:rsid w:val="62684144"/>
    <w:rsid w:val="712434EA"/>
    <w:rsid w:val="79463689"/>
    <w:rsid w:val="7A60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805</Characters>
  <Application>Microsoft Office Word</Application>
  <DocSecurity>0</DocSecurity>
  <Lines>6</Lines>
  <Paragraphs>1</Paragraphs>
  <ScaleCrop>false</ScaleCrop>
  <Company>GJRCB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王静霞</dc:creator>
  <cp:lastModifiedBy>办公室</cp:lastModifiedBy>
  <cp:revision>2</cp:revision>
  <dcterms:created xsi:type="dcterms:W3CDTF">2024-02-23T01:29:00Z</dcterms:created>
  <dcterms:modified xsi:type="dcterms:W3CDTF">2024-02-23T01:29:00Z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