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5E" w:rsidRPr="00E87E7B" w:rsidRDefault="004E7448">
      <w:pPr>
        <w:widowControl/>
        <w:shd w:val="clear" w:color="auto" w:fill="FFFFFF"/>
        <w:jc w:val="center"/>
        <w:rPr>
          <w:rFonts w:ascii="创艺简标宋" w:eastAsia="创艺简标宋" w:hAnsi="微软雅黑" w:cs="宋体"/>
          <w:bCs/>
          <w:color w:val="222222"/>
          <w:kern w:val="0"/>
          <w:sz w:val="44"/>
          <w:szCs w:val="44"/>
        </w:rPr>
      </w:pPr>
      <w:r w:rsidRPr="00E87E7B">
        <w:rPr>
          <w:rFonts w:ascii="创艺简标宋" w:eastAsia="创艺简标宋" w:hAnsi="微软雅黑" w:cs="宋体" w:hint="eastAsia"/>
          <w:bCs/>
          <w:color w:val="222222"/>
          <w:kern w:val="0"/>
          <w:sz w:val="44"/>
          <w:szCs w:val="44"/>
        </w:rPr>
        <w:t>广东揭阳农村商业银行股份有限公司</w:t>
      </w:r>
    </w:p>
    <w:p w:rsidR="0046665E" w:rsidRDefault="004E7448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222222"/>
          <w:kern w:val="0"/>
          <w:sz w:val="44"/>
          <w:szCs w:val="44"/>
        </w:rPr>
      </w:pPr>
      <w:r w:rsidRPr="00E87E7B">
        <w:rPr>
          <w:rFonts w:ascii="创艺简标宋" w:eastAsia="创艺简标宋" w:hAnsi="微软雅黑" w:cs="宋体" w:hint="eastAsia"/>
          <w:bCs/>
          <w:color w:val="222222"/>
          <w:kern w:val="0"/>
          <w:sz w:val="44"/>
          <w:szCs w:val="44"/>
        </w:rPr>
        <w:t>关于20</w:t>
      </w:r>
      <w:r w:rsidR="00E87E7B">
        <w:rPr>
          <w:rFonts w:ascii="创艺简标宋" w:eastAsia="创艺简标宋" w:hAnsi="微软雅黑" w:cs="宋体" w:hint="eastAsia"/>
          <w:bCs/>
          <w:color w:val="222222"/>
          <w:kern w:val="0"/>
          <w:sz w:val="44"/>
          <w:szCs w:val="44"/>
        </w:rPr>
        <w:t>25</w:t>
      </w:r>
      <w:r w:rsidRPr="00E87E7B">
        <w:rPr>
          <w:rFonts w:ascii="创艺简标宋" w:eastAsia="创艺简标宋" w:hAnsi="微软雅黑" w:cs="宋体" w:hint="eastAsia"/>
          <w:bCs/>
          <w:color w:val="222222"/>
          <w:kern w:val="0"/>
          <w:sz w:val="44"/>
          <w:szCs w:val="44"/>
        </w:rPr>
        <w:t>年第</w:t>
      </w:r>
      <w:r w:rsidR="002707BE">
        <w:rPr>
          <w:rFonts w:ascii="创艺简标宋" w:eastAsia="创艺简标宋" w:hAnsi="微软雅黑" w:cs="宋体" w:hint="eastAsia"/>
          <w:bCs/>
          <w:color w:val="222222"/>
          <w:kern w:val="0"/>
          <w:sz w:val="44"/>
          <w:szCs w:val="44"/>
        </w:rPr>
        <w:t>二</w:t>
      </w:r>
      <w:r w:rsidRPr="00E87E7B">
        <w:rPr>
          <w:rFonts w:ascii="创艺简标宋" w:eastAsia="创艺简标宋" w:hAnsi="微软雅黑" w:cs="宋体" w:hint="eastAsia"/>
          <w:bCs/>
          <w:color w:val="222222"/>
          <w:kern w:val="0"/>
          <w:sz w:val="44"/>
          <w:szCs w:val="44"/>
        </w:rPr>
        <w:t>季度关联交易情况的公告</w:t>
      </w:r>
    </w:p>
    <w:p w:rsidR="0046665E" w:rsidRDefault="004E7448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根据《银行保险机构关联交易管理办法》的要求，广东揭</w:t>
      </w:r>
      <w:r>
        <w:rPr>
          <w:rFonts w:ascii="仿宋_GB2312" w:eastAsia="仿宋_GB2312" w:hint="eastAsia"/>
          <w:sz w:val="32"/>
          <w:szCs w:val="32"/>
        </w:rPr>
        <w:t>阳</w:t>
      </w:r>
      <w:r>
        <w:rPr>
          <w:rFonts w:ascii="仿宋_GB2312" w:eastAsia="仿宋_GB2312" w:hAnsi="Calibri" w:cs="Times New Roman" w:hint="eastAsia"/>
          <w:sz w:val="32"/>
          <w:szCs w:val="32"/>
        </w:rPr>
        <w:t>农村商业银行股份有限公司</w:t>
      </w:r>
      <w:r>
        <w:rPr>
          <w:rFonts w:ascii="仿宋_GB2312" w:eastAsia="仿宋_GB2312" w:hAnsi="Calibri" w:cs="Times New Roman"/>
          <w:sz w:val="32"/>
          <w:szCs w:val="32"/>
        </w:rPr>
        <w:t>(</w:t>
      </w:r>
      <w:r>
        <w:rPr>
          <w:rFonts w:ascii="仿宋_GB2312" w:eastAsia="仿宋_GB2312" w:hAnsi="Calibri" w:cs="Times New Roman" w:hint="eastAsia"/>
          <w:sz w:val="32"/>
          <w:szCs w:val="32"/>
        </w:rPr>
        <w:t>以下简称“本行”</w:t>
      </w:r>
      <w:r>
        <w:rPr>
          <w:rFonts w:ascii="仿宋_GB2312" w:eastAsia="仿宋_GB2312" w:hAnsi="Calibri" w:cs="Times New Roman"/>
          <w:sz w:val="32"/>
          <w:szCs w:val="32"/>
        </w:rPr>
        <w:t>)</w:t>
      </w:r>
      <w:r>
        <w:rPr>
          <w:rFonts w:ascii="仿宋_GB2312" w:eastAsia="仿宋_GB2312" w:hAnsi="Calibri" w:cs="Times New Roman" w:hint="eastAsia"/>
          <w:sz w:val="32"/>
          <w:szCs w:val="32"/>
        </w:rPr>
        <w:t>认真贯彻执行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关联交易管理制度</w:t>
      </w:r>
      <w:r>
        <w:rPr>
          <w:rFonts w:ascii="仿宋_GB2312" w:eastAsia="仿宋_GB2312" w:hAnsi="Calibri" w:cs="Times New Roman" w:hint="eastAsia"/>
          <w:sz w:val="32"/>
          <w:szCs w:val="32"/>
        </w:rPr>
        <w:t>各项</w:t>
      </w:r>
      <w:r>
        <w:rPr>
          <w:rFonts w:ascii="仿宋_GB2312" w:eastAsia="仿宋_GB2312" w:hint="eastAsia"/>
          <w:sz w:val="32"/>
          <w:szCs w:val="32"/>
        </w:rPr>
        <w:t>规定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。现将</w:t>
      </w:r>
      <w:r>
        <w:rPr>
          <w:rFonts w:ascii="仿宋_GB2312" w:eastAsia="仿宋_GB2312" w:hAnsi="Calibri" w:cs="Times New Roman"/>
          <w:sz w:val="32"/>
          <w:szCs w:val="32"/>
        </w:rPr>
        <w:t>20</w:t>
      </w:r>
      <w:r w:rsidR="00E87E7B"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Ansi="Calibri" w:cs="Times New Roman" w:hint="eastAsia"/>
          <w:sz w:val="32"/>
          <w:szCs w:val="32"/>
        </w:rPr>
        <w:t>年第</w:t>
      </w:r>
      <w:r w:rsidR="002707BE">
        <w:rPr>
          <w:rFonts w:ascii="仿宋_GB2312" w:eastAsia="仿宋_GB2312" w:hAnsi="Calibri" w:cs="Times New Roman" w:hint="eastAsia"/>
          <w:sz w:val="32"/>
          <w:szCs w:val="32"/>
        </w:rPr>
        <w:t>二</w:t>
      </w:r>
      <w:r>
        <w:rPr>
          <w:rFonts w:ascii="仿宋_GB2312" w:eastAsia="仿宋_GB2312" w:hAnsi="Calibri" w:cs="Times New Roman" w:hint="eastAsia"/>
          <w:sz w:val="32"/>
          <w:szCs w:val="32"/>
        </w:rPr>
        <w:t>季度本行关联交易的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情况公告如下：</w:t>
      </w:r>
    </w:p>
    <w:p w:rsidR="002707BE" w:rsidRPr="002707BE" w:rsidRDefault="002707BE" w:rsidP="002707BE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2707B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一、关联交易发生情况</w:t>
      </w:r>
    </w:p>
    <w:p w:rsidR="002707BE" w:rsidRPr="002707BE" w:rsidRDefault="002707BE" w:rsidP="002707BE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2707BE">
        <w:rPr>
          <w:rFonts w:ascii="仿宋_GB2312" w:eastAsia="仿宋_GB2312" w:hAnsi="Calibri" w:cs="Times New Roman" w:hint="eastAsia"/>
          <w:sz w:val="32"/>
          <w:szCs w:val="32"/>
        </w:rPr>
        <w:t>本行需披露的关联交易9笔，金额742万元。按交易属性划分，重大关联交易0笔，金额0万元；一般关联交易9笔，金额742万元</w:t>
      </w:r>
      <w:r w:rsidR="00555C69" w:rsidRPr="005F2022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Pr="002707BE">
        <w:rPr>
          <w:rFonts w:ascii="仿宋_GB2312" w:eastAsia="仿宋_GB2312" w:hAnsi="Calibri" w:cs="Times New Roman" w:hint="eastAsia"/>
          <w:sz w:val="32"/>
          <w:szCs w:val="32"/>
        </w:rPr>
        <w:t>按业务类型划分，授</w:t>
      </w:r>
      <w:proofErr w:type="gramStart"/>
      <w:r w:rsidRPr="002707BE">
        <w:rPr>
          <w:rFonts w:ascii="仿宋_GB2312" w:eastAsia="仿宋_GB2312" w:hAnsi="Calibri" w:cs="Times New Roman" w:hint="eastAsia"/>
          <w:sz w:val="32"/>
          <w:szCs w:val="32"/>
        </w:rPr>
        <w:t>信类关联</w:t>
      </w:r>
      <w:proofErr w:type="gramEnd"/>
      <w:r w:rsidRPr="002707BE">
        <w:rPr>
          <w:rFonts w:ascii="仿宋_GB2312" w:eastAsia="仿宋_GB2312" w:hAnsi="Calibri" w:cs="Times New Roman" w:hint="eastAsia"/>
          <w:sz w:val="32"/>
          <w:szCs w:val="32"/>
        </w:rPr>
        <w:t>交易1笔，金额49万元；存款类关联交易8</w:t>
      </w:r>
      <w:r w:rsidR="005F2022">
        <w:rPr>
          <w:rFonts w:ascii="仿宋_GB2312" w:eastAsia="仿宋_GB2312" w:hAnsi="Calibri" w:cs="Times New Roman" w:hint="eastAsia"/>
          <w:sz w:val="32"/>
          <w:szCs w:val="32"/>
        </w:rPr>
        <w:t>笔，</w:t>
      </w:r>
      <w:r w:rsidRPr="002707BE">
        <w:rPr>
          <w:rFonts w:ascii="仿宋_GB2312" w:eastAsia="仿宋_GB2312" w:hAnsi="Calibri" w:cs="Times New Roman" w:hint="eastAsia"/>
          <w:sz w:val="32"/>
          <w:szCs w:val="32"/>
        </w:rPr>
        <w:t xml:space="preserve">金额693万元。 </w:t>
      </w:r>
    </w:p>
    <w:p w:rsidR="002707BE" w:rsidRPr="002707BE" w:rsidRDefault="002707BE" w:rsidP="002707BE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2707B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二、关联余额控制</w:t>
      </w:r>
    </w:p>
    <w:p w:rsidR="00E87E7B" w:rsidRDefault="002707BE" w:rsidP="002707BE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2707BE">
        <w:rPr>
          <w:rFonts w:ascii="仿宋_GB2312" w:eastAsia="仿宋_GB2312" w:hAnsi="Calibri" w:cs="Times New Roman" w:hint="eastAsia"/>
          <w:sz w:val="32"/>
          <w:szCs w:val="32"/>
        </w:rPr>
        <w:t>截至2025年二季度末，本行对单个关联</w:t>
      </w:r>
      <w:proofErr w:type="gramStart"/>
      <w:r w:rsidRPr="002707BE">
        <w:rPr>
          <w:rFonts w:ascii="仿宋_GB2312" w:eastAsia="仿宋_GB2312" w:hAnsi="Calibri" w:cs="Times New Roman" w:hint="eastAsia"/>
          <w:sz w:val="32"/>
          <w:szCs w:val="32"/>
        </w:rPr>
        <w:t>方授信类关联</w:t>
      </w:r>
      <w:proofErr w:type="gramEnd"/>
      <w:r w:rsidRPr="002707BE">
        <w:rPr>
          <w:rFonts w:ascii="仿宋_GB2312" w:eastAsia="仿宋_GB2312" w:hAnsi="Calibri" w:cs="Times New Roman" w:hint="eastAsia"/>
          <w:sz w:val="32"/>
          <w:szCs w:val="32"/>
        </w:rPr>
        <w:t>交易最高余额</w:t>
      </w:r>
      <w:r w:rsidR="00555C69">
        <w:rPr>
          <w:rFonts w:ascii="仿宋_GB2312" w:eastAsia="仿宋_GB2312" w:hAnsi="Calibri" w:cs="Times New Roman" w:hint="eastAsia"/>
          <w:sz w:val="32"/>
          <w:szCs w:val="32"/>
        </w:rPr>
        <w:t>为</w:t>
      </w:r>
      <w:r w:rsidRPr="002707BE">
        <w:rPr>
          <w:rFonts w:ascii="仿宋_GB2312" w:eastAsia="仿宋_GB2312" w:hAnsi="Calibri" w:cs="Times New Roman" w:hint="eastAsia"/>
          <w:sz w:val="32"/>
          <w:szCs w:val="32"/>
        </w:rPr>
        <w:t>10144万元，占本行2025年6月底资本净额150448.12</w:t>
      </w:r>
      <w:r>
        <w:rPr>
          <w:rFonts w:ascii="仿宋_GB2312" w:eastAsia="仿宋_GB2312" w:hAnsi="Calibri" w:cs="Times New Roman" w:hint="eastAsia"/>
          <w:sz w:val="32"/>
          <w:szCs w:val="32"/>
        </w:rPr>
        <w:t>万元的</w:t>
      </w:r>
      <w:r w:rsidRPr="002707BE">
        <w:rPr>
          <w:rFonts w:ascii="仿宋_GB2312" w:eastAsia="仿宋_GB2312" w:hAnsi="Calibri" w:cs="Times New Roman" w:hint="eastAsia"/>
          <w:sz w:val="32"/>
          <w:szCs w:val="32"/>
        </w:rPr>
        <w:t>6.74%；对单个关联法人或其他组织所在集团客户的授</w:t>
      </w:r>
      <w:proofErr w:type="gramStart"/>
      <w:r w:rsidRPr="002707BE">
        <w:rPr>
          <w:rFonts w:ascii="仿宋_GB2312" w:eastAsia="仿宋_GB2312" w:hAnsi="Calibri" w:cs="Times New Roman" w:hint="eastAsia"/>
          <w:sz w:val="32"/>
          <w:szCs w:val="32"/>
        </w:rPr>
        <w:t>信类关联</w:t>
      </w:r>
      <w:proofErr w:type="gramEnd"/>
      <w:r w:rsidRPr="002707BE">
        <w:rPr>
          <w:rFonts w:ascii="仿宋_GB2312" w:eastAsia="仿宋_GB2312" w:hAnsi="Calibri" w:cs="Times New Roman" w:hint="eastAsia"/>
          <w:sz w:val="32"/>
          <w:szCs w:val="32"/>
        </w:rPr>
        <w:t>交易最高余额为19655.11万元，占本行2025年6月底资本净额150448.12</w:t>
      </w:r>
      <w:r w:rsidR="00555C69">
        <w:rPr>
          <w:rFonts w:ascii="仿宋_GB2312" w:eastAsia="仿宋_GB2312" w:hAnsi="Calibri" w:cs="Times New Roman" w:hint="eastAsia"/>
          <w:sz w:val="32"/>
          <w:szCs w:val="32"/>
        </w:rPr>
        <w:t>万元的</w:t>
      </w:r>
      <w:r w:rsidRPr="002707BE">
        <w:rPr>
          <w:rFonts w:ascii="仿宋_GB2312" w:eastAsia="仿宋_GB2312" w:hAnsi="Calibri" w:cs="Times New Roman" w:hint="eastAsia"/>
          <w:sz w:val="32"/>
          <w:szCs w:val="32"/>
        </w:rPr>
        <w:t>13.06%；对全部关联方的授</w:t>
      </w:r>
      <w:proofErr w:type="gramStart"/>
      <w:r w:rsidRPr="002707BE">
        <w:rPr>
          <w:rFonts w:ascii="仿宋_GB2312" w:eastAsia="仿宋_GB2312" w:hAnsi="Calibri" w:cs="Times New Roman" w:hint="eastAsia"/>
          <w:sz w:val="32"/>
          <w:szCs w:val="32"/>
        </w:rPr>
        <w:t>信类关联</w:t>
      </w:r>
      <w:proofErr w:type="gramEnd"/>
      <w:r w:rsidRPr="002707BE">
        <w:rPr>
          <w:rFonts w:ascii="仿宋_GB2312" w:eastAsia="仿宋_GB2312" w:hAnsi="Calibri" w:cs="Times New Roman" w:hint="eastAsia"/>
          <w:sz w:val="32"/>
          <w:szCs w:val="32"/>
        </w:rPr>
        <w:t>交易余额为21063.18万元，占本行2025年6月底资本净额150448.12</w:t>
      </w:r>
      <w:r w:rsidR="00555C69">
        <w:rPr>
          <w:rFonts w:ascii="仿宋_GB2312" w:eastAsia="仿宋_GB2312" w:hAnsi="Calibri" w:cs="Times New Roman" w:hint="eastAsia"/>
          <w:sz w:val="32"/>
          <w:szCs w:val="32"/>
        </w:rPr>
        <w:t>万元的</w:t>
      </w:r>
      <w:r w:rsidRPr="002707BE">
        <w:rPr>
          <w:rFonts w:ascii="仿宋_GB2312" w:eastAsia="仿宋_GB2312" w:hAnsi="Calibri" w:cs="Times New Roman" w:hint="eastAsia"/>
          <w:sz w:val="32"/>
          <w:szCs w:val="32"/>
        </w:rPr>
        <w:t>14.00%，各项关联交易指标符合相关规定。</w:t>
      </w:r>
    </w:p>
    <w:p w:rsidR="0046665E" w:rsidRDefault="004E7448" w:rsidP="005F2022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5F2022">
        <w:rPr>
          <w:rFonts w:ascii="仿宋_GB2312" w:eastAsia="仿宋_GB2312" w:hAnsi="Calibri" w:cs="Times New Roman" w:hint="eastAsia"/>
          <w:sz w:val="32"/>
          <w:szCs w:val="32"/>
        </w:rPr>
        <w:t>特此公告</w:t>
      </w:r>
      <w:bookmarkStart w:id="0" w:name="_GoBack"/>
      <w:bookmarkEnd w:id="0"/>
    </w:p>
    <w:p w:rsidR="00E87E7B" w:rsidRDefault="00E87E7B">
      <w:pPr>
        <w:widowControl/>
        <w:shd w:val="clear" w:color="auto" w:fill="FFFFFF"/>
        <w:spacing w:line="540" w:lineRule="exact"/>
        <w:ind w:firstLine="645"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</w:p>
    <w:p w:rsidR="0046665E" w:rsidRDefault="004E7448">
      <w:pPr>
        <w:widowControl/>
        <w:shd w:val="clear" w:color="auto" w:fill="FFFFFF"/>
        <w:spacing w:line="540" w:lineRule="exact"/>
        <w:ind w:firstLine="2400"/>
        <w:jc w:val="right"/>
        <w:rPr>
          <w:rFonts w:ascii="微软雅黑" w:eastAsia="微软雅黑" w:hAnsi="微软雅黑" w:cs="宋体"/>
          <w:color w:val="555555"/>
          <w:kern w:val="0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广东揭阳农村商业银行股份有限公司</w:t>
      </w:r>
    </w:p>
    <w:p w:rsidR="0046665E" w:rsidRDefault="004E7448">
      <w:pPr>
        <w:widowControl/>
        <w:shd w:val="clear" w:color="auto" w:fill="FFFFFF"/>
        <w:spacing w:line="540" w:lineRule="exact"/>
        <w:ind w:firstLine="3525"/>
        <w:jc w:val="center"/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2025年</w:t>
      </w:r>
      <w:r w:rsidR="002707BE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 w:rsidR="00E87E7B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sectPr w:rsidR="00466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D4"/>
    <w:rsid w:val="002707BE"/>
    <w:rsid w:val="00431F90"/>
    <w:rsid w:val="0046665E"/>
    <w:rsid w:val="004E7448"/>
    <w:rsid w:val="00555C69"/>
    <w:rsid w:val="005F2022"/>
    <w:rsid w:val="008A1FD4"/>
    <w:rsid w:val="00E87E7B"/>
    <w:rsid w:val="029231E9"/>
    <w:rsid w:val="04EA56AD"/>
    <w:rsid w:val="0C025076"/>
    <w:rsid w:val="123F239E"/>
    <w:rsid w:val="1DC31733"/>
    <w:rsid w:val="1E4812AF"/>
    <w:rsid w:val="202F11CC"/>
    <w:rsid w:val="213945ED"/>
    <w:rsid w:val="217E1960"/>
    <w:rsid w:val="22E212B5"/>
    <w:rsid w:val="24157C9E"/>
    <w:rsid w:val="2CD30697"/>
    <w:rsid w:val="310D33D3"/>
    <w:rsid w:val="32E8684E"/>
    <w:rsid w:val="335458B0"/>
    <w:rsid w:val="35557537"/>
    <w:rsid w:val="368B7F58"/>
    <w:rsid w:val="389C2210"/>
    <w:rsid w:val="40CC0131"/>
    <w:rsid w:val="42982F39"/>
    <w:rsid w:val="44250B8D"/>
    <w:rsid w:val="46386ACE"/>
    <w:rsid w:val="4CF90BA7"/>
    <w:rsid w:val="4FB820C4"/>
    <w:rsid w:val="53286C09"/>
    <w:rsid w:val="545D79FE"/>
    <w:rsid w:val="60C57509"/>
    <w:rsid w:val="6695025A"/>
    <w:rsid w:val="672A1E4D"/>
    <w:rsid w:val="68D61F11"/>
    <w:rsid w:val="69BC3208"/>
    <w:rsid w:val="6C4C3A0D"/>
    <w:rsid w:val="735A0038"/>
    <w:rsid w:val="75153821"/>
    <w:rsid w:val="772F4AC7"/>
    <w:rsid w:val="7E25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E4C3"/>
  <w15:docId w15:val="{9A5E696D-97F0-4D55-A216-5C635A68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744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E74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GJRCB</dc:creator>
  <cp:lastModifiedBy>郑庆珍</cp:lastModifiedBy>
  <cp:revision>6</cp:revision>
  <cp:lastPrinted>2025-07-30T03:57:00Z</cp:lastPrinted>
  <dcterms:created xsi:type="dcterms:W3CDTF">2023-08-28T02:21:00Z</dcterms:created>
  <dcterms:modified xsi:type="dcterms:W3CDTF">2025-07-30T04:02:00Z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0558FD6DB413490185635F781D7DA8C6</vt:lpwstr>
  </property>
</Properties>
</file>