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广东揭阳农村商业银行股份有限公司</w:t>
      </w:r>
    </w:p>
    <w:p>
      <w:pPr>
        <w:jc w:val="center"/>
        <w:rPr>
          <w:rStyle w:val="5"/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</w:rPr>
        <w:t>202</w:t>
      </w:r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5</w:t>
      </w:r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</w:rPr>
        <w:t>年</w:t>
      </w:r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上半年</w:t>
      </w:r>
      <w:r>
        <w:rPr>
          <w:rStyle w:val="6"/>
          <w:rFonts w:hint="eastAsia" w:ascii="黑体" w:hAnsi="黑体" w:eastAsia="黑体" w:cs="黑体"/>
          <w:b w:val="0"/>
          <w:bCs w:val="0"/>
          <w:sz w:val="40"/>
          <w:szCs w:val="40"/>
        </w:rPr>
        <w:t>第三支柱信息披露报告</w:t>
      </w:r>
    </w:p>
    <w:p>
      <w:pPr>
        <w:rPr>
          <w:rStyle w:val="5"/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根据《商业银行资本管理办法》（国家金融监督管理总局令2023年第4号文）有关要求，现将2025年上半年第三支柱信息披露报告如下：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  <w:t>一、资本构成情况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2025年6月末，我行合并口径核心一级资本净额为20.93亿元，一级资本净额为20.93亿元，资本净额为20.93亿元。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  <w:t>二、风险加权资产情况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2025年6月末，我行合并口径风险加权资产为115.05亿元，其中:信用风险加权资产为105.50亿元，市场风险加权资产0.02亿元，操作风险加权资产为9.46亿元。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i w:val="0"/>
          <w:iCs w:val="0"/>
          <w:kern w:val="44"/>
          <w:sz w:val="32"/>
          <w:szCs w:val="32"/>
          <w:lang w:val="en-US" w:eastAsia="zh-CN"/>
        </w:rPr>
        <w:t>三、资本充足情况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2025年6月末，我行合并口径核心一级资本充足率为18.20%，一级资本净额为18.20%，资本充足率为18.20%；杠杆率为8.96%，流动性比例为117.23%，均能够满足本行业务发展需要及监管要求。具体详见附表1和附表2。</w:t>
      </w:r>
    </w:p>
    <w:p>
      <w:pPr>
        <w:numPr>
          <w:ilvl w:val="0"/>
          <w:numId w:val="0"/>
        </w:numPr>
        <w:ind w:leftChars="0" w:firstLine="560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 xml:space="preserve">               广东揭阳农村商业银行股份有限公司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80" w:firstLineChars="1400"/>
        <w:textAlignment w:val="auto"/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  <w:t>2025年8月28日</w:t>
      </w:r>
    </w:p>
    <w:p>
      <w:pPr>
        <w:numPr>
          <w:ilvl w:val="0"/>
          <w:numId w:val="0"/>
        </w:numPr>
        <w:ind w:leftChars="0" w:firstLine="560"/>
        <w:rPr>
          <w:rFonts w:hint="default" w:ascii="仿宋_GB2312" w:hAnsi="Calibri" w:eastAsia="仿宋_GB2312" w:cs="Times New Roman"/>
          <w:bCs/>
          <w:kern w:val="44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1D2A"/>
    <w:rsid w:val="01F73A80"/>
    <w:rsid w:val="03A65374"/>
    <w:rsid w:val="061A0568"/>
    <w:rsid w:val="08243401"/>
    <w:rsid w:val="0FD06B9F"/>
    <w:rsid w:val="105705B9"/>
    <w:rsid w:val="173F37EC"/>
    <w:rsid w:val="28F05AC2"/>
    <w:rsid w:val="2B546137"/>
    <w:rsid w:val="2CF85053"/>
    <w:rsid w:val="314011DB"/>
    <w:rsid w:val="39910F55"/>
    <w:rsid w:val="3BDD02C5"/>
    <w:rsid w:val="3F17658B"/>
    <w:rsid w:val="4787624B"/>
    <w:rsid w:val="49A86C33"/>
    <w:rsid w:val="50B27262"/>
    <w:rsid w:val="5D24413F"/>
    <w:rsid w:val="5E5356B8"/>
    <w:rsid w:val="61F24F17"/>
    <w:rsid w:val="68693658"/>
    <w:rsid w:val="68D66029"/>
    <w:rsid w:val="6C995601"/>
    <w:rsid w:val="6D391576"/>
    <w:rsid w:val="791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  <w:style w:type="character" w:customStyle="1" w:styleId="6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2024-09-05T04:36:00Z</dcterms:created>
  <dc:creator>0039745</dc:creator>
  <cp:lastModifiedBy>0039745</cp:lastModifiedBy>
  <cp:lastPrinted>2025-08-28T01:01:00Z</cp:lastPrinted>
  <dcterms:modified xsi:type="dcterms:W3CDTF">2025-08-28T06:33:08Z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D00B108447DC4EAE8D623702A51654A8</vt:lpwstr>
  </property>
</Properties>
</file>