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广东揭阳农村商业银行股份有限公司</w:t>
      </w:r>
    </w:p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关于人员调整事项的公告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为确保广东揭阳农村商业银行股份有限公司各项工作持续高效推进，根据法律法规、监管要求及《广东揭阳农村商业银行股份有限公司章程》的有关规定，由董事、副行长谢雄林同志代为履行行长职责。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广东揭阳农村商业银行股份有限公司</w:t>
      </w:r>
    </w:p>
    <w:p>
      <w:pPr>
        <w:ind w:right="960"/>
        <w:jc w:val="center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2025年8月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5F"/>
    <w:rsid w:val="000C20D3"/>
    <w:rsid w:val="008E6D27"/>
    <w:rsid w:val="00A1372E"/>
    <w:rsid w:val="00A4135F"/>
    <w:rsid w:val="00AB4773"/>
    <w:rsid w:val="00C84D98"/>
    <w:rsid w:val="00E06E9B"/>
    <w:rsid w:val="00FF7BD1"/>
    <w:rsid w:val="3A500A29"/>
    <w:rsid w:val="4B2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25</TotalTime>
  <ScaleCrop>false</ScaleCrop>
  <LinksUpToDate>false</LinksUpToDate>
  <CharactersWithSpaces>166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2025-08-27T03:31:00Z</dcterms:created>
  <dc:creator>郑庆珍</dc:creator>
  <cp:lastModifiedBy>0039636</cp:lastModifiedBy>
  <cp:lastPrinted>2025-08-29T08:45:00Z</cp:lastPrinted>
  <dcterms:modified xsi:type="dcterms:W3CDTF">2025-08-29T09:07:57Z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327C9ABC48634769A694020134FC174F</vt:lpwstr>
  </property>
</Properties>
</file>