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5E" w:rsidRPr="00E87E7B" w:rsidRDefault="004E7448" w:rsidP="00985E7E">
      <w:pPr>
        <w:widowControl/>
        <w:shd w:val="clear" w:color="auto" w:fill="FFFFFF"/>
        <w:spacing w:line="560" w:lineRule="exact"/>
        <w:jc w:val="center"/>
        <w:rPr>
          <w:rFonts w:ascii="创艺简标宋" w:eastAsia="创艺简标宋" w:hAnsi="微软雅黑" w:cs="宋体"/>
          <w:bCs/>
          <w:color w:val="222222"/>
          <w:kern w:val="0"/>
          <w:sz w:val="44"/>
          <w:szCs w:val="44"/>
        </w:rPr>
      </w:pPr>
      <w:bookmarkStart w:id="0" w:name="_GoBack"/>
      <w:r w:rsidRPr="00E87E7B"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广东揭阳农村商业银行股份有限公司</w:t>
      </w:r>
    </w:p>
    <w:p w:rsidR="0046665E" w:rsidRDefault="004E7448" w:rsidP="00985E7E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宋体"/>
          <w:b/>
          <w:bCs/>
          <w:color w:val="222222"/>
          <w:kern w:val="0"/>
          <w:sz w:val="44"/>
          <w:szCs w:val="44"/>
        </w:rPr>
      </w:pPr>
      <w:r w:rsidRPr="00E87E7B"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关于20</w:t>
      </w:r>
      <w:r w:rsidR="00E87E7B"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25</w:t>
      </w:r>
      <w:r w:rsidRPr="00E87E7B"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年第</w:t>
      </w:r>
      <w:r w:rsidR="00BE7935"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三</w:t>
      </w:r>
      <w:r w:rsidRPr="00E87E7B"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季度关联交易情况的公告</w:t>
      </w:r>
    </w:p>
    <w:p w:rsidR="0046665E" w:rsidRDefault="004E7448" w:rsidP="00985E7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根据《银行保险机构关联交易管理办法》的要求，广东揭</w:t>
      </w:r>
      <w:r>
        <w:rPr>
          <w:rFonts w:ascii="仿宋_GB2312" w:eastAsia="仿宋_GB2312" w:hint="eastAsia"/>
          <w:sz w:val="32"/>
          <w:szCs w:val="32"/>
        </w:rPr>
        <w:t>阳</w:t>
      </w:r>
      <w:r>
        <w:rPr>
          <w:rFonts w:ascii="仿宋_GB2312" w:eastAsia="仿宋_GB2312" w:hAnsi="Calibri" w:cs="Times New Roman" w:hint="eastAsia"/>
          <w:sz w:val="32"/>
          <w:szCs w:val="32"/>
        </w:rPr>
        <w:t>农村商业银行股份有限公司</w:t>
      </w:r>
      <w:r>
        <w:rPr>
          <w:rFonts w:ascii="仿宋_GB2312" w:eastAsia="仿宋_GB2312" w:hAnsi="Calibri" w:cs="Times New Roman"/>
          <w:sz w:val="32"/>
          <w:szCs w:val="32"/>
        </w:rPr>
        <w:t>(</w:t>
      </w:r>
      <w:r>
        <w:rPr>
          <w:rFonts w:ascii="仿宋_GB2312" w:eastAsia="仿宋_GB2312" w:hAnsi="Calibri" w:cs="Times New Roman" w:hint="eastAsia"/>
          <w:sz w:val="32"/>
          <w:szCs w:val="32"/>
        </w:rPr>
        <w:t>以下简称“本行”</w:t>
      </w:r>
      <w:r>
        <w:rPr>
          <w:rFonts w:ascii="仿宋_GB2312" w:eastAsia="仿宋_GB2312" w:hAnsi="Calibri" w:cs="Times New Roman"/>
          <w:sz w:val="32"/>
          <w:szCs w:val="32"/>
        </w:rPr>
        <w:t>)</w:t>
      </w:r>
      <w:r>
        <w:rPr>
          <w:rFonts w:ascii="仿宋_GB2312" w:eastAsia="仿宋_GB2312" w:hAnsi="Calibri" w:cs="Times New Roman" w:hint="eastAsia"/>
          <w:sz w:val="32"/>
          <w:szCs w:val="32"/>
        </w:rPr>
        <w:t>认真贯彻执行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关联交易管理制度</w:t>
      </w:r>
      <w:r>
        <w:rPr>
          <w:rFonts w:ascii="仿宋_GB2312" w:eastAsia="仿宋_GB2312" w:hAnsi="Calibri" w:cs="Times New Roman" w:hint="eastAsia"/>
          <w:sz w:val="32"/>
          <w:szCs w:val="32"/>
        </w:rPr>
        <w:t>各项</w:t>
      </w:r>
      <w:r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。现将</w:t>
      </w:r>
      <w:r>
        <w:rPr>
          <w:rFonts w:ascii="仿宋_GB2312" w:eastAsia="仿宋_GB2312" w:hAnsi="Calibri" w:cs="Times New Roman"/>
          <w:sz w:val="32"/>
          <w:szCs w:val="32"/>
        </w:rPr>
        <w:t>20</w:t>
      </w:r>
      <w:r w:rsidR="00E87E7B"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Ansi="Calibri" w:cs="Times New Roman" w:hint="eastAsia"/>
          <w:sz w:val="32"/>
          <w:szCs w:val="32"/>
        </w:rPr>
        <w:t>年第</w:t>
      </w:r>
      <w:r w:rsidR="00A27E37">
        <w:rPr>
          <w:rFonts w:ascii="仿宋_GB2312" w:eastAsia="仿宋_GB2312" w:hAnsi="Calibri" w:cs="Times New Roman" w:hint="eastAsia"/>
          <w:sz w:val="32"/>
          <w:szCs w:val="32"/>
        </w:rPr>
        <w:t>三</w:t>
      </w:r>
      <w:r>
        <w:rPr>
          <w:rFonts w:ascii="仿宋_GB2312" w:eastAsia="仿宋_GB2312" w:hAnsi="Calibri" w:cs="Times New Roman" w:hint="eastAsia"/>
          <w:sz w:val="32"/>
          <w:szCs w:val="32"/>
        </w:rPr>
        <w:t>季度本行关联交易的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情况公告如下：</w:t>
      </w:r>
    </w:p>
    <w:p w:rsidR="00A27E37" w:rsidRDefault="00A27E37" w:rsidP="00985E7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一、关联交易发生情况</w:t>
      </w:r>
    </w:p>
    <w:p w:rsidR="00A27E37" w:rsidRDefault="00A27E37" w:rsidP="00985E7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本行需披露的关联交易5笔，金额650万元。按交易属性划分，重大关联交易0笔，金额0万元；一般关联交易5笔，金额650万元。按业务类型划分，授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信类关联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交易2笔，金额500万元；存款类关联交易3笔，金额</w:t>
      </w:r>
      <w:r>
        <w:rPr>
          <w:rFonts w:ascii="仿宋_GB2312" w:eastAsia="仿宋_GB2312" w:hAnsi="Calibri" w:cs="Times New Roman" w:hint="eastAsia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A27E37" w:rsidRDefault="00A27E37" w:rsidP="00985E7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二、关联余额控制</w:t>
      </w:r>
    </w:p>
    <w:p w:rsidR="00A27E37" w:rsidRDefault="00A27E37" w:rsidP="00985E7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截至2025年三季度末，本行对单个关联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方授信类关联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交易最高余额9956万元，占本行2025年9月底资本净额</w:t>
      </w:r>
      <w:r>
        <w:rPr>
          <w:rFonts w:ascii="仿宋_GB2312" w:eastAsia="仿宋_GB2312" w:hAnsi="仿宋_GB2312" w:cs="仿宋_GB2312" w:hint="eastAsia"/>
          <w:sz w:val="32"/>
          <w:szCs w:val="32"/>
        </w:rPr>
        <w:t>155238.38</w:t>
      </w:r>
      <w:r>
        <w:rPr>
          <w:rFonts w:ascii="仿宋_GB2312" w:eastAsia="仿宋_GB2312" w:hAnsi="Calibri" w:cs="Times New Roman" w:hint="eastAsia"/>
          <w:sz w:val="32"/>
          <w:szCs w:val="32"/>
        </w:rPr>
        <w:t>万元的6.41%；对单个关联法人或其他组织所在集团客户的授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信类关联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交易最高余额为19463.78万元，占本行2025年9月底资本净额</w:t>
      </w:r>
      <w:r>
        <w:rPr>
          <w:rFonts w:ascii="仿宋_GB2312" w:eastAsia="仿宋_GB2312" w:hAnsi="仿宋_GB2312" w:cs="仿宋_GB2312" w:hint="eastAsia"/>
          <w:sz w:val="32"/>
          <w:szCs w:val="32"/>
        </w:rPr>
        <w:t>155238.38</w:t>
      </w:r>
      <w:r>
        <w:rPr>
          <w:rFonts w:ascii="仿宋_GB2312" w:eastAsia="仿宋_GB2312" w:hAnsi="Calibri" w:cs="Times New Roman" w:hint="eastAsia"/>
          <w:sz w:val="32"/>
          <w:szCs w:val="32"/>
        </w:rPr>
        <w:t>万元的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的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12.54%；对全部关联方的授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信类关联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交易余额为21197.71万元，占本行2025年9月底资本净额</w:t>
      </w:r>
      <w:r>
        <w:rPr>
          <w:rFonts w:ascii="仿宋_GB2312" w:eastAsia="仿宋_GB2312" w:hAnsi="仿宋_GB2312" w:cs="仿宋_GB2312" w:hint="eastAsia"/>
          <w:sz w:val="32"/>
          <w:szCs w:val="32"/>
        </w:rPr>
        <w:t>155238.38</w:t>
      </w:r>
      <w:r>
        <w:rPr>
          <w:rFonts w:ascii="仿宋_GB2312" w:eastAsia="仿宋_GB2312" w:hAnsi="Calibri" w:cs="Times New Roman" w:hint="eastAsia"/>
          <w:sz w:val="32"/>
          <w:szCs w:val="32"/>
        </w:rPr>
        <w:t>万元的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的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13.65%，各项关联交易指标符合相关规定。</w:t>
      </w:r>
    </w:p>
    <w:p w:rsidR="0046665E" w:rsidRDefault="004E7448" w:rsidP="00985E7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5F2022">
        <w:rPr>
          <w:rFonts w:ascii="仿宋_GB2312" w:eastAsia="仿宋_GB2312" w:hAnsi="Calibri" w:cs="Times New Roman" w:hint="eastAsia"/>
          <w:sz w:val="32"/>
          <w:szCs w:val="32"/>
        </w:rPr>
        <w:t>特此公告</w:t>
      </w:r>
    </w:p>
    <w:p w:rsidR="00E87E7B" w:rsidRDefault="00E87E7B" w:rsidP="00985E7E">
      <w:pPr>
        <w:widowControl/>
        <w:shd w:val="clear" w:color="auto" w:fill="FFFFFF"/>
        <w:spacing w:line="560" w:lineRule="exact"/>
        <w:ind w:firstLine="645"/>
        <w:jc w:val="left"/>
        <w:rPr>
          <w:rFonts w:ascii="微软雅黑" w:eastAsia="微软雅黑" w:hAnsi="微软雅黑" w:cs="宋体"/>
          <w:color w:val="555555"/>
          <w:kern w:val="0"/>
          <w:szCs w:val="21"/>
        </w:rPr>
      </w:pPr>
    </w:p>
    <w:p w:rsidR="0046665E" w:rsidRDefault="004E7448" w:rsidP="00985E7E">
      <w:pPr>
        <w:widowControl/>
        <w:shd w:val="clear" w:color="auto" w:fill="FFFFFF"/>
        <w:spacing w:line="560" w:lineRule="exact"/>
        <w:ind w:firstLine="2400"/>
        <w:jc w:val="right"/>
        <w:rPr>
          <w:rFonts w:ascii="微软雅黑" w:eastAsia="微软雅黑" w:hAnsi="微软雅黑" w:cs="宋体"/>
          <w:color w:val="555555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广东揭阳农村商业银行股份有限公司</w:t>
      </w:r>
    </w:p>
    <w:p w:rsidR="0046665E" w:rsidRDefault="004E7448" w:rsidP="00985E7E">
      <w:pPr>
        <w:widowControl/>
        <w:shd w:val="clear" w:color="auto" w:fill="FFFFFF"/>
        <w:spacing w:line="560" w:lineRule="exact"/>
        <w:ind w:firstLine="3525"/>
        <w:jc w:val="center"/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2025年</w:t>
      </w:r>
      <w:r w:rsidR="00A27E37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="00A27E37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bookmarkEnd w:id="0"/>
    </w:p>
    <w:sectPr w:rsidR="0046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D4"/>
    <w:rsid w:val="002707BE"/>
    <w:rsid w:val="00431F90"/>
    <w:rsid w:val="0046665E"/>
    <w:rsid w:val="004E7448"/>
    <w:rsid w:val="00555C69"/>
    <w:rsid w:val="005F2022"/>
    <w:rsid w:val="008A1FD4"/>
    <w:rsid w:val="00985E7E"/>
    <w:rsid w:val="00A27E37"/>
    <w:rsid w:val="00BE7935"/>
    <w:rsid w:val="00E87E7B"/>
    <w:rsid w:val="029231E9"/>
    <w:rsid w:val="04EA56AD"/>
    <w:rsid w:val="0C025076"/>
    <w:rsid w:val="123F239E"/>
    <w:rsid w:val="1DC31733"/>
    <w:rsid w:val="1E4812AF"/>
    <w:rsid w:val="202F11CC"/>
    <w:rsid w:val="213945ED"/>
    <w:rsid w:val="217E1960"/>
    <w:rsid w:val="22E212B5"/>
    <w:rsid w:val="24157C9E"/>
    <w:rsid w:val="2CD30697"/>
    <w:rsid w:val="310D33D3"/>
    <w:rsid w:val="32E8684E"/>
    <w:rsid w:val="335458B0"/>
    <w:rsid w:val="35557537"/>
    <w:rsid w:val="368B7F58"/>
    <w:rsid w:val="389C2210"/>
    <w:rsid w:val="40CC0131"/>
    <w:rsid w:val="42982F39"/>
    <w:rsid w:val="44250B8D"/>
    <w:rsid w:val="46386ACE"/>
    <w:rsid w:val="4CF90BA7"/>
    <w:rsid w:val="4FB820C4"/>
    <w:rsid w:val="53286C09"/>
    <w:rsid w:val="545D79FE"/>
    <w:rsid w:val="60C57509"/>
    <w:rsid w:val="6695025A"/>
    <w:rsid w:val="672A1E4D"/>
    <w:rsid w:val="68D61F11"/>
    <w:rsid w:val="69BC3208"/>
    <w:rsid w:val="6C4C3A0D"/>
    <w:rsid w:val="735A0038"/>
    <w:rsid w:val="75153821"/>
    <w:rsid w:val="772F4AC7"/>
    <w:rsid w:val="7E25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E696D-97F0-4D55-A216-5C635A68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744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E74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GJRCB</dc:creator>
  <cp:lastModifiedBy>郑庆珍</cp:lastModifiedBy>
  <cp:revision>8</cp:revision>
  <cp:lastPrinted>2025-07-30T03:57:00Z</cp:lastPrinted>
  <dcterms:created xsi:type="dcterms:W3CDTF">2023-08-28T02:21:00Z</dcterms:created>
  <dcterms:modified xsi:type="dcterms:W3CDTF">2025-10-31T02:46:00Z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0558FD6DB413490185635F781D7DA8C6</vt:lpwstr>
  </property>
</Properties>
</file>