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创艺简标宋" w:eastAsia="创艺简标宋" w:hAnsiTheme="minorEastAsia" w:cstheme="minorEastAsia"/>
          <w:bCs/>
          <w:sz w:val="44"/>
          <w:szCs w:val="44"/>
        </w:rPr>
      </w:pPr>
      <w:r>
        <w:rPr>
          <w:rFonts w:hint="eastAsia" w:ascii="创艺简标宋" w:eastAsia="创艺简标宋" w:hAnsiTheme="minorEastAsia" w:cstheme="minorEastAsia"/>
          <w:bCs/>
          <w:sz w:val="44"/>
          <w:szCs w:val="44"/>
        </w:rPr>
        <w:t>广东揭阳农村商业银行股份有限公司</w:t>
      </w:r>
    </w:p>
    <w:p>
      <w:pPr>
        <w:spacing w:line="560" w:lineRule="exact"/>
        <w:jc w:val="center"/>
        <w:rPr>
          <w:rFonts w:asciiTheme="minorEastAsia" w:hAnsiTheme="minorEastAsia" w:eastAsiaTheme="minorEastAsia" w:cstheme="minorEastAsia"/>
          <w:b/>
          <w:bCs/>
          <w:sz w:val="44"/>
          <w:szCs w:val="44"/>
        </w:rPr>
      </w:pPr>
      <w:r>
        <w:rPr>
          <w:rFonts w:hint="eastAsia" w:ascii="创艺简标宋" w:eastAsia="创艺简标宋" w:hAnsiTheme="minorEastAsia" w:cstheme="minorEastAsia"/>
          <w:bCs/>
          <w:sz w:val="44"/>
          <w:szCs w:val="44"/>
        </w:rPr>
        <w:t>关于关联交易事项的公告</w:t>
      </w:r>
      <w:bookmarkStart w:id="0" w:name="_GoBack"/>
      <w:bookmarkEnd w:id="0"/>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根据《银行保险机构关联交易管理办法》第五十三条和第五十六条规定，广东揭阳农村商业银行股份有限公司（以下简称“本行”）就重大关联交易信息披露如下：</w:t>
      </w:r>
    </w:p>
    <w:p>
      <w:pPr>
        <w:numPr>
          <w:ilvl w:val="0"/>
          <w:numId w:val="1"/>
        </w:num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关联交易概述及交易标的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本次关联交易主要内容为同意向广东国鑫实业股份有限公司发放“</w:t>
      </w:r>
      <w:r>
        <w:rPr>
          <w:rFonts w:hint="eastAsia" w:ascii="仿宋_GB2312" w:hAnsi="Arial" w:eastAsia="仿宋_GB2312" w:cs="Arial"/>
          <w:kern w:val="0"/>
          <w:sz w:val="32"/>
          <w:szCs w:val="32"/>
        </w:rPr>
        <w:t>无还本续贷</w:t>
      </w:r>
      <w:r>
        <w:rPr>
          <w:rFonts w:hint="eastAsia" w:ascii="仿宋_GB2312" w:hAnsi="仿宋_GB2312" w:eastAsia="仿宋_GB2312" w:cs="仿宋_GB2312"/>
          <w:sz w:val="32"/>
          <w:szCs w:val="32"/>
        </w:rPr>
        <w:t>”9400万元的关联交易，期限1年,担保方式为抵押。</w:t>
      </w:r>
    </w:p>
    <w:p>
      <w:pPr>
        <w:numPr>
          <w:ilvl w:val="0"/>
          <w:numId w:val="1"/>
        </w:num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关联方介绍</w:t>
      </w:r>
    </w:p>
    <w:p>
      <w:pPr>
        <w:numPr>
          <w:ilvl w:val="0"/>
          <w:numId w:val="2"/>
        </w:numPr>
        <w:spacing w:line="56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关联方关系介绍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揭阳市镛汇投资股份有限公司为本行主要股东，广东国鑫实业股份有限公司是揭阳市镛汇投资股份有限公司的关联方。</w:t>
      </w:r>
    </w:p>
    <w:p>
      <w:pPr>
        <w:numPr>
          <w:ilvl w:val="0"/>
          <w:numId w:val="2"/>
        </w:numPr>
        <w:spacing w:line="56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关联人基本情况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东国鑫实业股份有限公司，性质为股份有限公司，经营范围：一般项目:金属材料销售；金属材料制造；新材料技术研发；有色金属合金制造；普通货物仓储服务（不含危险化学品等需许可审批的项目）；装卸搬运；以自有资金从事投资活动；生产性废旧金属回收。（除依法须经批准的项目外，凭营业执照依法自主开展经营活动）许可项目：水路普通货物运输；道路货物运输（不含危险货物）。法定代表人：蔡耿烽。注册地：揭阳市榕城区滨海科技园。注册资本：30000万元。</w:t>
      </w:r>
    </w:p>
    <w:p>
      <w:pPr>
        <w:numPr>
          <w:ilvl w:val="0"/>
          <w:numId w:val="1"/>
        </w:num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关联交易的定价政策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本行与广东国鑫实业股份有限公司的关联交易按一般的商业条款原则进行，遵循利率政策以及本行同类产品定价相关管理制度，以不优于对非关联方同类交易的条件，关联交易价格公允，并遵循公平公正原则。</w:t>
      </w:r>
    </w:p>
    <w:p>
      <w:pPr>
        <w:numPr>
          <w:ilvl w:val="0"/>
          <w:numId w:val="1"/>
        </w:num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关联交易金额及比例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本次与广东国鑫实业股份有限公司的单笔交易金额为9400万元，占本行2025年9月底资本净额</w:t>
      </w:r>
      <w:r>
        <w:rPr>
          <w:rFonts w:hint="eastAsia" w:ascii="仿宋_GB2312" w:hAnsi="Calibri" w:eastAsia="仿宋_GB2312"/>
          <w:sz w:val="32"/>
          <w:szCs w:val="32"/>
        </w:rPr>
        <w:t>155238.38</w:t>
      </w:r>
      <w:r>
        <w:rPr>
          <w:rFonts w:hint="eastAsia" w:ascii="仿宋_GB2312" w:hAnsi="仿宋_GB2312" w:eastAsia="仿宋_GB2312" w:cs="仿宋_GB2312"/>
          <w:sz w:val="32"/>
          <w:szCs w:val="32"/>
        </w:rPr>
        <w:t>万元的6.06%，属于重大关联交易。</w:t>
      </w:r>
    </w:p>
    <w:p>
      <w:pPr>
        <w:numPr>
          <w:ilvl w:val="0"/>
          <w:numId w:val="1"/>
        </w:num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有关决议程序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本次关联交易经第四届董事会第二十五次会议审批通过。</w:t>
      </w:r>
    </w:p>
    <w:p>
      <w:pPr>
        <w:numPr>
          <w:ilvl w:val="0"/>
          <w:numId w:val="1"/>
        </w:num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独立董事意见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本行全体独立董事对上述关联交易发表意见如下：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行与广东国鑫实业股份有限公司9400万元人民币的关联交易属于本行正常业务，定价以不优于对非关联方同类交易的条件进行，符合公司和全体股东的利益，且不会对本行独立性构成影响，符合《广东揭阳农村商业银行股份有限公司章程》、本行关联交易管理及其他内部制度相关规定，依规履行了相关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特此公告                                      </w:t>
      </w: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广东揭阳农村商业银行股份有限公司</w:t>
      </w:r>
    </w:p>
    <w:p>
      <w:pPr>
        <w:spacing w:line="560" w:lineRule="exact"/>
        <w:ind w:right="960"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2026年1月6日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5020D"/>
    <w:multiLevelType w:val="singleLevel"/>
    <w:tmpl w:val="8D05020D"/>
    <w:lvl w:ilvl="0" w:tentative="0">
      <w:start w:val="1"/>
      <w:numFmt w:val="chineseCounting"/>
      <w:suff w:val="nothing"/>
      <w:lvlText w:val="（%1）"/>
      <w:lvlJc w:val="left"/>
      <w:rPr>
        <w:rFonts w:hint="eastAsia"/>
      </w:rPr>
    </w:lvl>
  </w:abstractNum>
  <w:abstractNum w:abstractNumId="1">
    <w:nsid w:val="BB2BBDBE"/>
    <w:multiLevelType w:val="singleLevel"/>
    <w:tmpl w:val="BB2BBDB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28"/>
    <w:rsid w:val="00185B29"/>
    <w:rsid w:val="007E0CF5"/>
    <w:rsid w:val="00BA149A"/>
    <w:rsid w:val="00BE4928"/>
    <w:rsid w:val="00E01555"/>
    <w:rsid w:val="01411CCA"/>
    <w:rsid w:val="042931BC"/>
    <w:rsid w:val="064E2D82"/>
    <w:rsid w:val="079A3755"/>
    <w:rsid w:val="085140B5"/>
    <w:rsid w:val="0B15601F"/>
    <w:rsid w:val="0E9C6BB1"/>
    <w:rsid w:val="103D2B26"/>
    <w:rsid w:val="11B70D3A"/>
    <w:rsid w:val="13383E61"/>
    <w:rsid w:val="15901104"/>
    <w:rsid w:val="18AA27A0"/>
    <w:rsid w:val="1C456672"/>
    <w:rsid w:val="23337726"/>
    <w:rsid w:val="2339425D"/>
    <w:rsid w:val="29692C8F"/>
    <w:rsid w:val="29E868A1"/>
    <w:rsid w:val="2C463031"/>
    <w:rsid w:val="2DFE20DA"/>
    <w:rsid w:val="2F107C41"/>
    <w:rsid w:val="32640F04"/>
    <w:rsid w:val="34951FCC"/>
    <w:rsid w:val="365302AE"/>
    <w:rsid w:val="365767AE"/>
    <w:rsid w:val="384F1B55"/>
    <w:rsid w:val="3C607E4E"/>
    <w:rsid w:val="3E5D0521"/>
    <w:rsid w:val="424C5A9B"/>
    <w:rsid w:val="43F61427"/>
    <w:rsid w:val="44C015FA"/>
    <w:rsid w:val="4BC27ACF"/>
    <w:rsid w:val="4BC71003"/>
    <w:rsid w:val="4E023609"/>
    <w:rsid w:val="53476475"/>
    <w:rsid w:val="53517C2A"/>
    <w:rsid w:val="550B1D72"/>
    <w:rsid w:val="55526A6E"/>
    <w:rsid w:val="56B01606"/>
    <w:rsid w:val="5AC24977"/>
    <w:rsid w:val="5F20072A"/>
    <w:rsid w:val="614347D7"/>
    <w:rsid w:val="61F94F84"/>
    <w:rsid w:val="65B64D8E"/>
    <w:rsid w:val="660A6525"/>
    <w:rsid w:val="68786414"/>
    <w:rsid w:val="69403AE0"/>
    <w:rsid w:val="69C368B1"/>
    <w:rsid w:val="6A237628"/>
    <w:rsid w:val="6A790CFA"/>
    <w:rsid w:val="6BEB329A"/>
    <w:rsid w:val="755C3F1C"/>
    <w:rsid w:val="77354E90"/>
    <w:rsid w:val="7B2E7A51"/>
    <w:rsid w:val="7E6F7DF6"/>
    <w:rsid w:val="7E92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customStyle="1" w:styleId="5">
    <w:name w:val="公文"/>
    <w:basedOn w:val="1"/>
    <w:qFormat/>
    <w:uiPriority w:val="0"/>
    <w:pPr>
      <w:spacing w:line="520" w:lineRule="exact"/>
    </w:pPr>
    <w:rPr>
      <w:rFonts w:ascii="宋体" w:hAnsi="宋体"/>
      <w:b/>
      <w:sz w:val="28"/>
    </w:rPr>
  </w:style>
  <w:style w:type="character" w:customStyle="1" w:styleId="6">
    <w:name w:val="批注框文本 字符"/>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138</Words>
  <Characters>792</Characters>
  <Lines>6</Lines>
  <Paragraphs>1</Paragraphs>
  <TotalTime>5</TotalTime>
  <ScaleCrop>false</ScaleCrop>
  <LinksUpToDate>false</LinksUpToDate>
  <CharactersWithSpaces>929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2026-01-06T07:35:00Z</dcterms:created>
  <dc:creator>0011367</dc:creator>
  <cp:lastModifiedBy>0039636</cp:lastModifiedBy>
  <cp:lastPrinted>2025-01-13T07:56:00Z</cp:lastPrinted>
  <dcterms:modified xsi:type="dcterms:W3CDTF">2026-01-06T08:32:29Z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F11578F0651248938F3E180A6F9666F7</vt:lpwstr>
  </property>
</Properties>
</file>