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ascii="创艺简标宋" w:hAnsi="微软雅黑" w:eastAsia="创艺简标宋" w:cs="宋体"/>
          <w:bCs/>
          <w:color w:val="222222"/>
          <w:kern w:val="0"/>
          <w:sz w:val="44"/>
          <w:szCs w:val="44"/>
        </w:rPr>
      </w:pPr>
      <w:r>
        <w:rPr>
          <w:rFonts w:hint="eastAsia" w:ascii="创艺简标宋" w:hAnsi="微软雅黑" w:eastAsia="创艺简标宋" w:cs="宋体"/>
          <w:bCs/>
          <w:color w:val="222222"/>
          <w:kern w:val="0"/>
          <w:sz w:val="44"/>
          <w:szCs w:val="44"/>
        </w:rPr>
        <w:t>广东揭阳农村商业银行股份有限公司</w:t>
      </w:r>
    </w:p>
    <w:p>
      <w:pPr>
        <w:widowControl/>
        <w:shd w:val="clear" w:color="auto" w:fill="FFFFFF"/>
        <w:spacing w:line="560" w:lineRule="exact"/>
        <w:jc w:val="center"/>
        <w:rPr>
          <w:rFonts w:ascii="微软雅黑" w:hAnsi="微软雅黑" w:eastAsia="微软雅黑" w:cs="宋体"/>
          <w:b/>
          <w:bCs/>
          <w:color w:val="222222"/>
          <w:kern w:val="0"/>
          <w:sz w:val="44"/>
          <w:szCs w:val="44"/>
        </w:rPr>
      </w:pPr>
      <w:r>
        <w:rPr>
          <w:rFonts w:hint="eastAsia" w:ascii="创艺简标宋" w:hAnsi="微软雅黑" w:eastAsia="创艺简标宋" w:cs="宋体"/>
          <w:bCs/>
          <w:color w:val="222222"/>
          <w:kern w:val="0"/>
          <w:sz w:val="44"/>
          <w:szCs w:val="44"/>
        </w:rPr>
        <w:t>关于2025年第三季度关联交易情况的公告</w:t>
      </w:r>
    </w:p>
    <w:p>
      <w:pPr>
        <w:autoSpaceDE w:val="0"/>
        <w:autoSpaceDN w:val="0"/>
        <w:adjustRightInd w:val="0"/>
        <w:spacing w:line="560" w:lineRule="exact"/>
        <w:ind w:firstLine="640" w:firstLineChars="200"/>
        <w:rPr>
          <w:rFonts w:ascii="仿宋_GB2312" w:hAnsi="黑体" w:eastAsia="仿宋_GB2312" w:cs="Times New Roman"/>
          <w:sz w:val="32"/>
          <w:szCs w:val="32"/>
        </w:rPr>
      </w:pPr>
      <w:r>
        <w:rPr>
          <w:rFonts w:hint="eastAsia" w:ascii="仿宋_GB2312" w:hAnsi="Calibri" w:eastAsia="仿宋_GB2312" w:cs="Times New Roman"/>
          <w:sz w:val="32"/>
          <w:szCs w:val="32"/>
        </w:rPr>
        <w:t>根据《银行保险机构关联交易管理办法》的要求</w:t>
      </w:r>
      <w:bookmarkStart w:id="0" w:name="_GoBack"/>
      <w:bookmarkEnd w:id="0"/>
      <w:r>
        <w:rPr>
          <w:rFonts w:hint="eastAsia" w:ascii="仿宋_GB2312" w:hAnsi="Calibri" w:eastAsia="仿宋_GB2312" w:cs="Times New Roman"/>
          <w:sz w:val="32"/>
          <w:szCs w:val="32"/>
        </w:rPr>
        <w:t>，广东揭</w:t>
      </w:r>
      <w:r>
        <w:rPr>
          <w:rFonts w:hint="eastAsia" w:ascii="仿宋_GB2312" w:eastAsia="仿宋_GB2312"/>
          <w:sz w:val="32"/>
          <w:szCs w:val="32"/>
        </w:rPr>
        <w:t>阳</w:t>
      </w:r>
      <w:r>
        <w:rPr>
          <w:rFonts w:hint="eastAsia" w:ascii="仿宋_GB2312" w:hAnsi="Calibri" w:eastAsia="仿宋_GB2312" w:cs="Times New Roman"/>
          <w:sz w:val="32"/>
          <w:szCs w:val="32"/>
        </w:rPr>
        <w:t>农村商业银行股份有限公司</w:t>
      </w:r>
      <w:r>
        <w:rPr>
          <w:rFonts w:ascii="仿宋_GB2312" w:hAnsi="Calibri" w:eastAsia="仿宋_GB2312" w:cs="Times New Roman"/>
          <w:sz w:val="32"/>
          <w:szCs w:val="32"/>
        </w:rPr>
        <w:t>(</w:t>
      </w:r>
      <w:r>
        <w:rPr>
          <w:rFonts w:hint="eastAsia" w:ascii="仿宋_GB2312" w:hAnsi="Calibri" w:eastAsia="仿宋_GB2312" w:cs="Times New Roman"/>
          <w:sz w:val="32"/>
          <w:szCs w:val="32"/>
        </w:rPr>
        <w:t>以下简称“本行”</w:t>
      </w:r>
      <w:r>
        <w:rPr>
          <w:rFonts w:ascii="仿宋_GB2312" w:hAnsi="Calibri" w:eastAsia="仿宋_GB2312" w:cs="Times New Roman"/>
          <w:sz w:val="32"/>
          <w:szCs w:val="32"/>
        </w:rPr>
        <w:t>)</w:t>
      </w:r>
      <w:r>
        <w:rPr>
          <w:rFonts w:hint="eastAsia" w:ascii="仿宋_GB2312" w:hAnsi="Calibri" w:eastAsia="仿宋_GB2312" w:cs="Times New Roman"/>
          <w:sz w:val="32"/>
          <w:szCs w:val="32"/>
        </w:rPr>
        <w:t>认真贯彻执行</w:t>
      </w:r>
      <w:r>
        <w:rPr>
          <w:rFonts w:hint="eastAsia" w:ascii="仿宋_GB2312" w:hAnsi="仿宋" w:eastAsia="仿宋_GB2312" w:cs="仿宋_GB2312"/>
          <w:color w:val="000000"/>
          <w:kern w:val="0"/>
          <w:sz w:val="32"/>
          <w:szCs w:val="32"/>
        </w:rPr>
        <w:t>关联交易管理制度</w:t>
      </w:r>
      <w:r>
        <w:rPr>
          <w:rFonts w:hint="eastAsia" w:ascii="仿宋_GB2312" w:hAnsi="Calibri" w:eastAsia="仿宋_GB2312" w:cs="Times New Roman"/>
          <w:sz w:val="32"/>
          <w:szCs w:val="32"/>
        </w:rPr>
        <w:t>各项</w:t>
      </w:r>
      <w:r>
        <w:rPr>
          <w:rFonts w:hint="eastAsia" w:ascii="仿宋_GB2312" w:eastAsia="仿宋_GB2312"/>
          <w:sz w:val="32"/>
          <w:szCs w:val="32"/>
        </w:rPr>
        <w:t>规定</w:t>
      </w:r>
      <w:r>
        <w:rPr>
          <w:rFonts w:hint="eastAsia" w:ascii="仿宋_GB2312" w:hAnsi="仿宋" w:eastAsia="仿宋_GB2312" w:cs="仿宋_GB2312"/>
          <w:color w:val="000000"/>
          <w:kern w:val="0"/>
          <w:sz w:val="32"/>
          <w:szCs w:val="32"/>
        </w:rPr>
        <w:t>。现将</w:t>
      </w:r>
      <w:r>
        <w:rPr>
          <w:rFonts w:ascii="仿宋_GB2312" w:hAnsi="Calibri" w:eastAsia="仿宋_GB2312" w:cs="Times New Roman"/>
          <w:sz w:val="32"/>
          <w:szCs w:val="32"/>
        </w:rPr>
        <w:t>20</w:t>
      </w:r>
      <w:r>
        <w:rPr>
          <w:rFonts w:ascii="仿宋_GB2312" w:eastAsia="仿宋_GB2312"/>
          <w:sz w:val="32"/>
          <w:szCs w:val="32"/>
        </w:rPr>
        <w:t>25</w:t>
      </w:r>
      <w:r>
        <w:rPr>
          <w:rFonts w:hint="eastAsia" w:ascii="仿宋_GB2312" w:hAnsi="Calibri" w:eastAsia="仿宋_GB2312" w:cs="Times New Roman"/>
          <w:sz w:val="32"/>
          <w:szCs w:val="32"/>
        </w:rPr>
        <w:t>年第三季度本行关联交易的</w:t>
      </w:r>
      <w:r>
        <w:rPr>
          <w:rFonts w:hint="eastAsia" w:ascii="仿宋_GB2312" w:hAnsi="仿宋" w:eastAsia="仿宋_GB2312" w:cs="仿宋_GB2312"/>
          <w:kern w:val="0"/>
          <w:sz w:val="32"/>
          <w:szCs w:val="32"/>
        </w:rPr>
        <w:t>情况公告如下：</w:t>
      </w:r>
    </w:p>
    <w:p>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一、关联交易发生情况</w:t>
      </w:r>
    </w:p>
    <w:p>
      <w:pPr>
        <w:autoSpaceDE w:val="0"/>
        <w:autoSpaceDN w:val="0"/>
        <w:adjustRightInd w:val="0"/>
        <w:spacing w:line="560" w:lineRule="exact"/>
        <w:ind w:firstLine="640" w:firstLineChars="200"/>
        <w:rPr>
          <w:rFonts w:ascii="仿宋_GB2312" w:hAnsi="Calibri" w:eastAsia="仿宋_GB2312" w:cs="Times New Roman"/>
          <w:sz w:val="32"/>
          <w:szCs w:val="32"/>
        </w:rPr>
      </w:pPr>
      <w:r>
        <w:rPr>
          <w:rFonts w:hint="eastAsia" w:ascii="仿宋_GB2312" w:hAnsi="仿宋_GB2312" w:eastAsia="仿宋_GB2312" w:cs="仿宋_GB2312"/>
          <w:sz w:val="32"/>
          <w:szCs w:val="32"/>
        </w:rPr>
        <w:t>本行需披露的关联交易5笔，金额650万元。按交易属性划分，重大关联交易0笔，金额0万元；一般关联交易5笔，金额650万元。按业务类型划分，授信类关联交易2笔，金额500万元；存款类关联交易3笔，金额</w:t>
      </w:r>
      <w:r>
        <w:rPr>
          <w:rFonts w:hint="eastAsia" w:ascii="仿宋_GB2312" w:hAnsi="Calibri" w:eastAsia="仿宋_GB2312" w:cs="Times New Roman"/>
          <w:sz w:val="32"/>
          <w:szCs w:val="32"/>
        </w:rPr>
        <w:t>150</w:t>
      </w:r>
      <w:r>
        <w:rPr>
          <w:rFonts w:hint="eastAsia" w:ascii="仿宋_GB2312" w:hAnsi="仿宋_GB2312" w:eastAsia="仿宋_GB2312" w:cs="仿宋_GB2312"/>
          <w:sz w:val="32"/>
          <w:szCs w:val="32"/>
        </w:rPr>
        <w:t>万元。</w:t>
      </w:r>
      <w:r>
        <w:rPr>
          <w:rFonts w:hint="eastAsia" w:ascii="仿宋_GB2312" w:hAnsi="Calibri" w:eastAsia="仿宋_GB2312" w:cs="Times New Roman"/>
          <w:sz w:val="32"/>
          <w:szCs w:val="32"/>
        </w:rPr>
        <w:t xml:space="preserve"> </w:t>
      </w:r>
    </w:p>
    <w:p>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二、关联余额控制</w:t>
      </w:r>
    </w:p>
    <w:p>
      <w:pPr>
        <w:autoSpaceDE w:val="0"/>
        <w:autoSpaceDN w:val="0"/>
        <w:adjustRightInd w:val="0"/>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截至2025年三季度末，本行对单个关联方授信类关联交易最高余额9956万元，占本行2025年9月底资本净额</w:t>
      </w:r>
      <w:r>
        <w:rPr>
          <w:rFonts w:hint="eastAsia" w:ascii="仿宋_GB2312" w:hAnsi="仿宋_GB2312" w:eastAsia="仿宋_GB2312" w:cs="仿宋_GB2312"/>
          <w:sz w:val="32"/>
          <w:szCs w:val="32"/>
        </w:rPr>
        <w:t>155238.38</w:t>
      </w:r>
      <w:r>
        <w:rPr>
          <w:rFonts w:hint="eastAsia" w:ascii="仿宋_GB2312" w:hAnsi="Calibri" w:eastAsia="仿宋_GB2312" w:cs="Times New Roman"/>
          <w:sz w:val="32"/>
          <w:szCs w:val="32"/>
        </w:rPr>
        <w:t>万元的6.41%；对单个关联法人或其他组织所在集团客户的授信类关联交易最高余额为19463.78万元，占本行2025年9月底资本净额</w:t>
      </w:r>
      <w:r>
        <w:rPr>
          <w:rFonts w:hint="eastAsia" w:ascii="仿宋_GB2312" w:hAnsi="仿宋_GB2312" w:eastAsia="仿宋_GB2312" w:cs="仿宋_GB2312"/>
          <w:sz w:val="32"/>
          <w:szCs w:val="32"/>
        </w:rPr>
        <w:t>155238.38</w:t>
      </w:r>
      <w:r>
        <w:rPr>
          <w:rFonts w:hint="eastAsia" w:ascii="仿宋_GB2312" w:hAnsi="Calibri" w:eastAsia="仿宋_GB2312" w:cs="Times New Roman"/>
          <w:sz w:val="32"/>
          <w:szCs w:val="32"/>
        </w:rPr>
        <w:t>万元的的12.54%；对全部关联方的授信类关联交易余额为21197.71万元，占本行2025年9月底资本净额</w:t>
      </w:r>
      <w:r>
        <w:rPr>
          <w:rFonts w:hint="eastAsia" w:ascii="仿宋_GB2312" w:hAnsi="仿宋_GB2312" w:eastAsia="仿宋_GB2312" w:cs="仿宋_GB2312"/>
          <w:sz w:val="32"/>
          <w:szCs w:val="32"/>
        </w:rPr>
        <w:t>155238.38</w:t>
      </w:r>
      <w:r>
        <w:rPr>
          <w:rFonts w:hint="eastAsia" w:ascii="仿宋_GB2312" w:hAnsi="Calibri" w:eastAsia="仿宋_GB2312" w:cs="Times New Roman"/>
          <w:sz w:val="32"/>
          <w:szCs w:val="32"/>
        </w:rPr>
        <w:t>万元的的13.65%，各项关联交易指标符合相关规定。</w:t>
      </w:r>
    </w:p>
    <w:p>
      <w:pPr>
        <w:autoSpaceDE w:val="0"/>
        <w:autoSpaceDN w:val="0"/>
        <w:adjustRightInd w:val="0"/>
        <w:spacing w:line="560" w:lineRule="exact"/>
        <w:ind w:firstLine="640" w:firstLineChars="200"/>
        <w:rPr>
          <w:rFonts w:ascii="仿宋_GB2312" w:hAnsi="微软雅黑" w:eastAsia="仿宋_GB2312" w:cs="宋体"/>
          <w:color w:val="000000"/>
          <w:kern w:val="0"/>
          <w:sz w:val="32"/>
          <w:szCs w:val="32"/>
        </w:rPr>
      </w:pPr>
      <w:r>
        <w:rPr>
          <w:rFonts w:hint="eastAsia" w:ascii="仿宋_GB2312" w:hAnsi="Calibri" w:eastAsia="仿宋_GB2312" w:cs="Times New Roman"/>
          <w:sz w:val="32"/>
          <w:szCs w:val="32"/>
        </w:rPr>
        <w:t>特此公告</w:t>
      </w:r>
    </w:p>
    <w:p>
      <w:pPr>
        <w:widowControl/>
        <w:shd w:val="clear" w:color="auto" w:fill="FFFFFF"/>
        <w:spacing w:line="560" w:lineRule="exact"/>
        <w:ind w:firstLine="645"/>
        <w:jc w:val="left"/>
        <w:rPr>
          <w:rFonts w:ascii="微软雅黑" w:hAnsi="微软雅黑" w:eastAsia="微软雅黑" w:cs="宋体"/>
          <w:color w:val="555555"/>
          <w:kern w:val="0"/>
          <w:szCs w:val="21"/>
        </w:rPr>
      </w:pPr>
    </w:p>
    <w:p>
      <w:pPr>
        <w:widowControl/>
        <w:shd w:val="clear" w:color="auto" w:fill="FFFFFF"/>
        <w:spacing w:line="560" w:lineRule="exact"/>
        <w:ind w:firstLine="2400"/>
        <w:jc w:val="right"/>
        <w:rPr>
          <w:rFonts w:ascii="微软雅黑" w:hAnsi="微软雅黑" w:eastAsia="微软雅黑" w:cs="宋体"/>
          <w:color w:val="555555"/>
          <w:kern w:val="0"/>
          <w:szCs w:val="21"/>
        </w:rPr>
      </w:pPr>
      <w:r>
        <w:rPr>
          <w:rFonts w:hint="eastAsia" w:ascii="仿宋_GB2312" w:hAnsi="微软雅黑" w:eastAsia="仿宋_GB2312" w:cs="宋体"/>
          <w:color w:val="000000"/>
          <w:kern w:val="0"/>
          <w:sz w:val="32"/>
          <w:szCs w:val="32"/>
        </w:rPr>
        <w:t>广东揭阳农村商业银行股份有限公司</w:t>
      </w:r>
    </w:p>
    <w:p>
      <w:pPr>
        <w:widowControl/>
        <w:shd w:val="clear" w:color="auto" w:fill="FFFFFF"/>
        <w:spacing w:line="560" w:lineRule="exact"/>
        <w:ind w:firstLine="3525"/>
        <w:jc w:val="center"/>
      </w:pPr>
      <w:r>
        <w:rPr>
          <w:rFonts w:hint="eastAsia" w:ascii="仿宋_GB2312" w:hAnsi="微软雅黑" w:eastAsia="仿宋_GB2312" w:cs="宋体"/>
          <w:color w:val="000000"/>
          <w:kern w:val="0"/>
          <w:sz w:val="32"/>
          <w:szCs w:val="32"/>
        </w:rPr>
        <w:t>2025年</w:t>
      </w:r>
      <w:r>
        <w:rPr>
          <w:rFonts w:ascii="仿宋_GB2312" w:hAnsi="微软雅黑" w:eastAsia="仿宋_GB2312" w:cs="宋体"/>
          <w:color w:val="000000"/>
          <w:kern w:val="0"/>
          <w:sz w:val="32"/>
          <w:szCs w:val="32"/>
        </w:rPr>
        <w:t>10</w:t>
      </w:r>
      <w:r>
        <w:rPr>
          <w:rFonts w:hint="eastAsia" w:ascii="仿宋_GB2312" w:hAnsi="微软雅黑" w:eastAsia="仿宋_GB2312" w:cs="宋体"/>
          <w:color w:val="000000"/>
          <w:kern w:val="0"/>
          <w:sz w:val="32"/>
          <w:szCs w:val="32"/>
        </w:rPr>
        <w:t>月</w:t>
      </w:r>
      <w:r>
        <w:rPr>
          <w:rFonts w:ascii="仿宋_GB2312" w:hAnsi="微软雅黑" w:eastAsia="仿宋_GB2312" w:cs="宋体"/>
          <w:color w:val="000000"/>
          <w:kern w:val="0"/>
          <w:sz w:val="32"/>
          <w:szCs w:val="32"/>
        </w:rPr>
        <w:t>30</w:t>
      </w:r>
      <w:r>
        <w:rPr>
          <w:rFonts w:hint="eastAsia" w:ascii="仿宋_GB2312" w:hAnsi="微软雅黑" w:eastAsia="仿宋_GB2312" w:cs="宋体"/>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创艺简标宋">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FD4"/>
    <w:rsid w:val="002707BE"/>
    <w:rsid w:val="00431F90"/>
    <w:rsid w:val="0046665E"/>
    <w:rsid w:val="004E7448"/>
    <w:rsid w:val="00555C69"/>
    <w:rsid w:val="005F2022"/>
    <w:rsid w:val="008A1FD4"/>
    <w:rsid w:val="00985E7E"/>
    <w:rsid w:val="00A27E37"/>
    <w:rsid w:val="00BE7935"/>
    <w:rsid w:val="00E743F9"/>
    <w:rsid w:val="00E87E7B"/>
    <w:rsid w:val="029231E9"/>
    <w:rsid w:val="04EA56AD"/>
    <w:rsid w:val="0C025076"/>
    <w:rsid w:val="123F239E"/>
    <w:rsid w:val="1DC31733"/>
    <w:rsid w:val="1E4812AF"/>
    <w:rsid w:val="202F11CC"/>
    <w:rsid w:val="213945ED"/>
    <w:rsid w:val="217E1960"/>
    <w:rsid w:val="22E212B5"/>
    <w:rsid w:val="24157C9E"/>
    <w:rsid w:val="2CD30697"/>
    <w:rsid w:val="310D33D3"/>
    <w:rsid w:val="32E8684E"/>
    <w:rsid w:val="335458B0"/>
    <w:rsid w:val="35557537"/>
    <w:rsid w:val="368B7F58"/>
    <w:rsid w:val="389C2210"/>
    <w:rsid w:val="3E1703FB"/>
    <w:rsid w:val="40CC0131"/>
    <w:rsid w:val="42982F39"/>
    <w:rsid w:val="44250B8D"/>
    <w:rsid w:val="46386ACE"/>
    <w:rsid w:val="4CF90BA7"/>
    <w:rsid w:val="4FB820C4"/>
    <w:rsid w:val="53286C09"/>
    <w:rsid w:val="545D79FE"/>
    <w:rsid w:val="60C57509"/>
    <w:rsid w:val="6695025A"/>
    <w:rsid w:val="672A1E4D"/>
    <w:rsid w:val="68D61F11"/>
    <w:rsid w:val="69BC3208"/>
    <w:rsid w:val="6C4C3A0D"/>
    <w:rsid w:val="735A0038"/>
    <w:rsid w:val="75153821"/>
    <w:rsid w:val="772F4AC7"/>
    <w:rsid w:val="7E257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7"/>
    <w:semiHidden/>
    <w:unhideWhenUsed/>
    <w:qFormat/>
    <w:uiPriority w:val="99"/>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批注框文本 字符"/>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Words>
  <Characters>443</Characters>
  <Lines>3</Lines>
  <Paragraphs>1</Paragraphs>
  <TotalTime>37</TotalTime>
  <ScaleCrop>false</ScaleCrop>
  <LinksUpToDate>false</LinksUpToDate>
  <CharactersWithSpaces>519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2023-08-28T02:21:00Z</dcterms:created>
  <dc:creator>GJRCB</dc:creator>
  <cp:lastModifiedBy>0039636</cp:lastModifiedBy>
  <cp:lastPrinted>2025-07-30T03:57:00Z</cp:lastPrinted>
  <dcterms:modified xsi:type="dcterms:W3CDTF">2026-03-03T08:05:44Z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0558FD6DB413490185635F781D7DA8C6</vt:lpwstr>
  </property>
</Properties>
</file>