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</w:pPr>
      <w:r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  <w:t>广东揭阳农村商业银行股份有限公司</w:t>
      </w:r>
    </w:p>
    <w:p>
      <w:pPr>
        <w:spacing w:line="560" w:lineRule="exact"/>
        <w:jc w:val="center"/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</w:pPr>
      <w:r>
        <w:rPr>
          <w:rFonts w:hint="eastAsia" w:ascii="创艺简标宋" w:hAnsi="黑体" w:eastAsia="创艺简标宋" w:cs="黑体"/>
          <w:sz w:val="44"/>
          <w:szCs w:val="40"/>
        </w:rPr>
        <w:t>202</w:t>
      </w:r>
      <w:r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  <w:t>5</w:t>
      </w:r>
      <w:r>
        <w:rPr>
          <w:rFonts w:hint="eastAsia" w:ascii="创艺简标宋" w:hAnsi="黑体" w:eastAsia="创艺简标宋" w:cs="黑体"/>
          <w:sz w:val="44"/>
          <w:szCs w:val="40"/>
        </w:rPr>
        <w:t>年</w:t>
      </w:r>
      <w:r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  <w:t>度</w:t>
      </w:r>
      <w:r>
        <w:rPr>
          <w:rFonts w:hint="eastAsia" w:ascii="创艺简标宋" w:hAnsi="黑体" w:eastAsia="创艺简标宋" w:cs="黑体"/>
          <w:sz w:val="44"/>
          <w:szCs w:val="40"/>
        </w:rPr>
        <w:t>第三支柱信息披露报告</w:t>
      </w:r>
    </w:p>
    <w:p>
      <w:pPr>
        <w:spacing w:line="560" w:lineRule="exact"/>
        <w:jc w:val="center"/>
        <w:rPr>
          <w:rFonts w:hint="eastAsia" w:ascii="创艺简标宋" w:hAnsi="黑体" w:eastAsia="创艺简标宋" w:cs="黑体"/>
          <w:sz w:val="44"/>
          <w:szCs w:val="40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根据《商业银行资本管理办法》（国家金融监督管理总局令2023年第4号文）有关要求，现将2025年度第三支柱信息披露报告如下：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t>一、资本构成情况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2025年末，我行合并口径核心一级资本净额为19.58亿元，一级资本净额为19.58亿元，资本净额为19.90亿元。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t>二、风险加权资产情况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2025年末，我行合并口径风险加权资产为105.04亿元，其中:信用风险加权资产为96.95亿元，市场风险加权资产0.02亿元，操作风险加权资产为8.07亿元。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kern w:val="44"/>
          <w:sz w:val="32"/>
          <w:szCs w:val="32"/>
          <w:lang w:val="en-US" w:eastAsia="zh-CN"/>
        </w:rPr>
        <w:t>三、资本充足情况</w:t>
      </w:r>
    </w:p>
    <w:bookmarkEnd w:id="0"/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2025年末，我行合并口径核心一级资本充足率为18.64%，一级资本充足率为18.64%，资本充足率为18.94%；杠杆率为9.08%，流动性比例为115.60%，均能够满足本行业务发展需要及监管要求。具体详见附表1和附表2。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</w:rPr>
        <w:t xml:space="preserve">附表：1. </w:t>
      </w: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</w:rPr>
        <w:t>KM1监管并表关键审慎监管指标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</w:rPr>
        <w:t xml:space="preserve">      2. </w:t>
      </w: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</w:rPr>
        <w:t>CC1资本构成</w:t>
      </w:r>
    </w:p>
    <w:p>
      <w:pPr>
        <w:numPr>
          <w:ilvl w:val="0"/>
          <w:numId w:val="0"/>
        </w:numP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 xml:space="preserve">             广东揭阳农村商业银行股份有限公司</w:t>
      </w:r>
    </w:p>
    <w:p>
      <w:pPr>
        <w:spacing w:line="560" w:lineRule="exact"/>
        <w:ind w:firstLine="3840" w:firstLineChars="1200"/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  <w:t>2026年3月26日</w:t>
      </w:r>
    </w:p>
    <w:p>
      <w:pPr>
        <w:spacing w:line="560" w:lineRule="exact"/>
        <w:ind w:firstLine="640" w:firstLineChars="200"/>
        <w:rPr>
          <w:rFonts w:hint="default" w:ascii="仿宋_GB2312" w:hAnsi="Calibri" w:eastAsia="仿宋_GB2312" w:cs="Times New Roman"/>
          <w:bCs/>
          <w:kern w:val="4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1D2A"/>
    <w:rsid w:val="01F73A80"/>
    <w:rsid w:val="03A65374"/>
    <w:rsid w:val="061A0568"/>
    <w:rsid w:val="08243401"/>
    <w:rsid w:val="09D94530"/>
    <w:rsid w:val="0FD06B9F"/>
    <w:rsid w:val="105705B9"/>
    <w:rsid w:val="173F37EC"/>
    <w:rsid w:val="28F05AC2"/>
    <w:rsid w:val="2B546137"/>
    <w:rsid w:val="2CF85053"/>
    <w:rsid w:val="314011DB"/>
    <w:rsid w:val="39910F55"/>
    <w:rsid w:val="3BDD02C5"/>
    <w:rsid w:val="3F17658B"/>
    <w:rsid w:val="4787624B"/>
    <w:rsid w:val="49A86C33"/>
    <w:rsid w:val="4A922873"/>
    <w:rsid w:val="50B27262"/>
    <w:rsid w:val="5C883DAC"/>
    <w:rsid w:val="5D24413F"/>
    <w:rsid w:val="5DBA744C"/>
    <w:rsid w:val="5E5356B8"/>
    <w:rsid w:val="61F24F17"/>
    <w:rsid w:val="68693658"/>
    <w:rsid w:val="68D66029"/>
    <w:rsid w:val="6C995601"/>
    <w:rsid w:val="6D391576"/>
    <w:rsid w:val="79163CB7"/>
    <w:rsid w:val="7D12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  <w:style w:type="character" w:customStyle="1" w:styleId="6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2024-09-05T04:36:00Z</dcterms:created>
  <dc:creator>0039745</dc:creator>
  <cp:lastModifiedBy>0039745</cp:lastModifiedBy>
  <cp:lastPrinted>2025-08-28T01:01:00Z</cp:lastPrinted>
  <dcterms:modified xsi:type="dcterms:W3CDTF">2026-03-25T09:14:34Z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D00B108447DC4EAE8D623702A51654A8</vt:lpwstr>
  </property>
</Properties>
</file>