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创艺简标宋" w:hAnsi="创艺简标宋" w:eastAsia="创艺简标宋" w:cs="创艺简标宋"/>
          <w:sz w:val="44"/>
          <w:szCs w:val="44"/>
        </w:rPr>
      </w:pPr>
      <w:bookmarkStart w:id="0" w:name="_GoBack"/>
      <w:bookmarkEnd w:id="0"/>
      <w:r>
        <w:rPr>
          <w:rFonts w:hint="eastAsia" w:ascii="创艺简标宋" w:hAnsi="创艺简标宋" w:eastAsia="创艺简标宋" w:cs="创艺简标宋"/>
          <w:sz w:val="44"/>
          <w:szCs w:val="44"/>
        </w:rPr>
        <w:t>广东揭阳农村商业银行2025年度</w:t>
      </w:r>
    </w:p>
    <w:p>
      <w:pPr>
        <w:spacing w:line="580" w:lineRule="exact"/>
        <w:jc w:val="center"/>
        <w:rPr>
          <w:rFonts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</w:rPr>
        <w:t>社会责任报告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是广东揭阳农村商业银行（以下简称“本行”）深耕本土、践行社会责任的关键一年。作为扎根揭阳的农村金融主力军，本行始终坚守“金融为民”初心，将社会责任融入经营发展全过程。现将有关工作情况报告如下：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一、赋能实体经济，激活发展动能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本行紧扣地方发展战略，将信贷资源重点投向实体经济关键领域，以精准金融服务助力产业升级与经济提质。</w:t>
      </w:r>
    </w:p>
    <w:p>
      <w:pPr>
        <w:spacing w:line="58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（一）坚守“支农支小”基本定位。</w:t>
      </w:r>
      <w:r>
        <w:rPr>
          <w:rFonts w:hint="eastAsia" w:ascii="仿宋_GB2312" w:hAnsi="仿宋" w:eastAsia="仿宋_GB2312"/>
          <w:sz w:val="32"/>
          <w:szCs w:val="32"/>
        </w:rPr>
        <w:t>结合揭阳“一村一品、一镇一业”名单，精准对接特色农业产业，动态匹配产业链金融需求；简化贷款审批流程，降低小微企业融资门槛。全年累计投放小微企业贷款19.42亿元，2025年12月末小微企业贷款余额35.61亿元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（二）稳步推进普惠金融业务。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持续加大对小微企业、个体工商户、新市民等群体的信贷支持力度，推动普惠业务增量扩面提质。</w:t>
      </w:r>
      <w:r>
        <w:rPr>
          <w:rFonts w:hint="eastAsia" w:ascii="仿宋_GB2312" w:hAnsi="仿宋" w:eastAsia="仿宋_GB2312" w:cs="Times New Roman"/>
          <w:sz w:val="32"/>
          <w:szCs w:val="32"/>
        </w:rPr>
        <w:t>2025年12月末普惠贷款余额45.53亿元，较年初增长14.8%，普惠贷款占比较年初提升7.58个百分点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普惠贷款户数2.13万户，较年初增加0.25万户。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（三）突出“制造业当家”。</w:t>
      </w:r>
      <w:r>
        <w:rPr>
          <w:rFonts w:hint="eastAsia" w:ascii="仿宋_GB2312" w:hAnsi="仿宋" w:eastAsia="仿宋_GB2312"/>
          <w:sz w:val="32"/>
          <w:szCs w:val="32"/>
        </w:rPr>
        <w:t>强化对揭阳市支柱产业的金融支撑力度，提升对制造业的金融服务水平，全年共投放制造业贷款7.12亿元，2025年12月末制造业贷款余额12.72亿元，比年初增长2.24%。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二、服务“百千万工程”，助力乡村振兴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本行立足农村金融主力军定位，将金融服务深度融入乡村振兴各领域，为“百千万工程”高质量发展提供坚实金融支撑。</w:t>
      </w:r>
    </w:p>
    <w:p>
      <w:pPr>
        <w:pStyle w:val="4"/>
        <w:spacing w:line="580" w:lineRule="exact"/>
        <w:ind w:firstLine="643" w:firstLineChars="200"/>
        <w:rPr>
          <w:rFonts w:ascii="仿宋_GB2312" w:eastAsia="仿宋_GB2312" w:cstheme="minorBidi"/>
          <w:kern w:val="2"/>
          <w:sz w:val="32"/>
          <w:szCs w:val="32"/>
        </w:rPr>
      </w:pPr>
      <w:r>
        <w:rPr>
          <w:rFonts w:hint="eastAsia" w:ascii="仿宋_GB2312" w:eastAsia="仿宋_GB2312" w:cstheme="minorBidi"/>
          <w:b/>
          <w:bCs/>
          <w:kern w:val="2"/>
          <w:sz w:val="32"/>
          <w:szCs w:val="32"/>
        </w:rPr>
        <w:t>（一）织密农村服务网络。</w:t>
      </w:r>
      <w:r>
        <w:rPr>
          <w:rFonts w:hint="eastAsia" w:ascii="仿宋_GB2312" w:eastAsia="仿宋_GB2312" w:cstheme="minorBidi"/>
          <w:kern w:val="2"/>
          <w:sz w:val="32"/>
          <w:szCs w:val="32"/>
        </w:rPr>
        <w:t>建立“农村金融（普惠）户户通”工作领导小组，明确职责分工，强化考核激励，推动服务覆盖面持续扩展；在辖内村（居）布放175台“粤智助”政府服务自助机，实现“政务小事不出村”。</w:t>
      </w:r>
    </w:p>
    <w:p>
      <w:pPr>
        <w:pStyle w:val="4"/>
        <w:spacing w:line="58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 w:cstheme="minorBidi"/>
          <w:kern w:val="2"/>
          <w:sz w:val="32"/>
          <w:szCs w:val="32"/>
        </w:rPr>
        <w:t xml:space="preserve">    </w:t>
      </w:r>
      <w:r>
        <w:rPr>
          <w:rFonts w:hint="eastAsia" w:ascii="仿宋_GB2312" w:eastAsia="仿宋_GB2312" w:cstheme="minorBidi"/>
          <w:b/>
          <w:bCs/>
          <w:kern w:val="2"/>
          <w:sz w:val="32"/>
          <w:szCs w:val="32"/>
        </w:rPr>
        <w:t>（二）赋能乡村产业金融。</w:t>
      </w:r>
      <w:r>
        <w:rPr>
          <w:rFonts w:hint="eastAsia" w:ascii="仿宋_GB2312" w:eastAsia="仿宋_GB2312" w:cstheme="minorBidi"/>
          <w:kern w:val="2"/>
          <w:sz w:val="32"/>
          <w:szCs w:val="32"/>
        </w:rPr>
        <w:t>围绕农村产业融合发展要求，加大对农村农业的金融支持力度，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推出“厂房按揭贷”“农房风貌贷”等体现特色信贷产品；深化与榕城区政府战略合作，签订合作协议，在涉农项目、乡村产业项目、民生基础设施建设等方面强化金融赋能，助力城乡融合发展。</w:t>
      </w:r>
    </w:p>
    <w:p>
      <w:pPr>
        <w:pStyle w:val="4"/>
        <w:spacing w:line="580" w:lineRule="exac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（三）优化农村支付环境。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建成揭东区磐东街道移动支付示范街区，实现143户收单商户移动支付“一码通”率100%，同步拓展云闪付447户，让便民支付服务精准触达农村市场。</w:t>
      </w:r>
    </w:p>
    <w:p>
      <w:pPr>
        <w:pStyle w:val="4"/>
        <w:spacing w:line="580" w:lineRule="exact"/>
        <w:ind w:firstLine="64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三、践行金融为民，服务地方大局</w:t>
      </w:r>
    </w:p>
    <w:p>
      <w:pPr>
        <w:pStyle w:val="4"/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（一）畅通客户服务“专属通道”。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遵循“特事特办、急事急办”原则，针对老年群体、残障人士等特殊客群，提供预约上门办理业务服务，以有温度、有速度的金融举措，切实把“金融为民”理念落到实处，不断增强广大群众的金融获得感。</w:t>
      </w:r>
    </w:p>
    <w:p>
      <w:pPr>
        <w:pStyle w:val="4"/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（二）打造“古城支行”特色服务标杆。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度服务揭阳古城文旅发展战略，在核心街区布局的“古城支行”已正式开业。该网点作为本行首家非现金业务“智慧网点”，同步融入揭阳非遗宣传、文创产品展示等文化场景，将打造成为“金融＋文化”融合的示范点，以金融创新助力地方文旅产业转型升级。</w:t>
      </w:r>
    </w:p>
    <w:p>
      <w:pPr>
        <w:pStyle w:val="4"/>
        <w:spacing w:line="5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（三）加大绿色信贷投放。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树立“绿水青山就是金山银</w:t>
      </w:r>
      <w:r>
        <w:rPr>
          <w:rFonts w:hint="eastAsia" w:ascii="仿宋_GB2312" w:hAnsi="仿宋_GB2312" w:eastAsia="仿宋_GB2312" w:cs="仿宋_GB2312"/>
          <w:sz w:val="32"/>
          <w:szCs w:val="32"/>
        </w:rPr>
        <w:t>山”的绿色信贷理念，通过对绿色涉农信贷政策倾斜，支持环境保护和节能减排，加大对生态农林牧渔业、城乡绿色交通、农田水利及其他绿色消费的支持，严控“两高一剩”行业，履行农商行社会责任担当，推动绿美揭阳生态建设，</w:t>
      </w:r>
      <w:r>
        <w:rPr>
          <w:rFonts w:hint="eastAsia" w:ascii="仿宋_GB2312" w:hAnsi="仿宋" w:eastAsia="仿宋_GB2312"/>
          <w:sz w:val="32"/>
          <w:szCs w:val="32"/>
        </w:rPr>
        <w:t>2025年12月末绿色贷款余额0.11亿元。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四、投身公益活动，回馈社会民生</w:t>
      </w:r>
    </w:p>
    <w:p>
      <w:pPr>
        <w:spacing w:line="58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（一）加强金融知识宣传普及工作。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深入社区、学校、乡村及企业，常态化开展形式多样的金融知识宣讲活动，通过案例解析、互动问答、发放宣传折页等方式，重点普及反诈拒财、反洗钱、识别假币等知识，切实提升群众风险防范意识和综合金融素养。</w:t>
      </w:r>
    </w:p>
    <w:p>
      <w:pPr>
        <w:spacing w:line="58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（二）积极参与慈善公益事业。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积极参与当地政府及社区组织的活动，走访慰问敬老院、支持家乡植树造林和文明交通劝导服务志愿活动，组织发动全行员工参与公益助学捐款活动，切实履行社会责任，有</w:t>
      </w:r>
      <w:r>
        <w:rPr>
          <w:rFonts w:hint="eastAsia" w:ascii="仿宋_GB2312" w:hAnsi="仿宋_GB2312" w:eastAsia="仿宋_GB2312" w:cs="仿宋_GB2312"/>
          <w:sz w:val="32"/>
          <w:szCs w:val="32"/>
        </w:rPr>
        <w:t>效树立暖心银行形象。</w:t>
      </w:r>
    </w:p>
    <w:p>
      <w:pPr>
        <w:pStyle w:val="2"/>
        <w:spacing w:line="580" w:lineRule="exact"/>
        <w:ind w:firstLine="640"/>
        <w:jc w:val="left"/>
      </w:pPr>
      <w:r>
        <w:rPr>
          <w:rFonts w:hint="eastAsia" w:ascii="仿宋_GB2312" w:hAnsi="仿宋_GB2312" w:eastAsia="仿宋_GB2312" w:cs="仿宋_GB2312"/>
          <w:bCs/>
          <w:kern w:val="0"/>
          <w:position w:val="0"/>
          <w:sz w:val="32"/>
          <w:szCs w:val="32"/>
        </w:rPr>
        <w:t>（三）深耕地方税收贡献。</w:t>
      </w:r>
      <w:r>
        <w:rPr>
          <w:rFonts w:hint="eastAsia" w:ascii="仿宋_GB2312" w:hAnsi="仿宋_GB2312" w:eastAsia="仿宋_GB2312" w:cs="仿宋_GB2312"/>
          <w:b w:val="0"/>
          <w:kern w:val="0"/>
          <w:position w:val="0"/>
          <w:sz w:val="32"/>
          <w:szCs w:val="32"/>
        </w:rPr>
        <w:t>积极履行纳税义务，长期居榕城区纳税大户前30名，在榕城区银行业中位居纳税榜首，以稳定、持续的税收贡献为地方财政增收注入坚实动能，为区域经济社会高质量发展提供有力支撑。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五、重视员工职业发展，提升员工关爱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（一）提供丰富的培训和晋升机会。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各类内部培训和外部进修课程，涵盖业务技能、管理能力、职业素养等多个方面，持续提升员工业务能力和综合素质。建立公平公正的晋升机制，为优秀员工提供广阔的发展空间，激发员工工作积极性和创造力，让员工在工作中实现个人价值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（二）持续优化员工关怀措施。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员工关怀机制，关注员工的工作和生活状况，及时为员工解决实际问题。2025年共组织结婚慰问11人次，生育慰问19人次，生病住院慰问39人次，为参加互助会家庭困难的工会会员给予补助15人次，以上合计金额18.83万元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2025年，本行在履行社会责任的道路上步履坚实。未来，本行将继续锚定服务地方、“三农”、小微的定位，以更扎实的行动，全力服务地方经济社会发展，谱写高质量发展新篇章。</w:t>
      </w:r>
    </w:p>
    <w:p>
      <w:pPr>
        <w:pStyle w:val="3"/>
        <w:spacing w:line="580" w:lineRule="exact"/>
        <w:jc w:val="both"/>
        <w:rPr>
          <w:rFonts w:ascii="仿宋_GB2312" w:hAnsi="仿宋_GB2312" w:eastAsia="仿宋_GB2312" w:cs="仿宋_GB2312"/>
          <w:szCs w:val="32"/>
        </w:rPr>
      </w:pPr>
    </w:p>
    <w:p>
      <w:pPr>
        <w:spacing w:line="580" w:lineRule="exact"/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广东揭阳农村商业银行股份有限公司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2026年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6B"/>
    <w:rsid w:val="001F2046"/>
    <w:rsid w:val="005F65E2"/>
    <w:rsid w:val="007F5D6B"/>
    <w:rsid w:val="00AC5D5F"/>
    <w:rsid w:val="00DA026D"/>
    <w:rsid w:val="04F46BDB"/>
    <w:rsid w:val="07BB6708"/>
    <w:rsid w:val="09C657BC"/>
    <w:rsid w:val="0B0738BD"/>
    <w:rsid w:val="1440190D"/>
    <w:rsid w:val="222055C9"/>
    <w:rsid w:val="3E192303"/>
    <w:rsid w:val="58C86F89"/>
    <w:rsid w:val="5DA12930"/>
    <w:rsid w:val="60E41A82"/>
    <w:rsid w:val="62F13FD7"/>
    <w:rsid w:val="73CB5B36"/>
    <w:rsid w:val="75883FE8"/>
    <w:rsid w:val="762C1D62"/>
    <w:rsid w:val="77205AB7"/>
    <w:rsid w:val="7FE2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line="720" w:lineRule="auto"/>
      <w:jc w:val="center"/>
    </w:pPr>
    <w:rPr>
      <w:rFonts w:ascii="Verdana" w:hAnsi="Verdana" w:eastAsia="方正姚体" w:cs="Times New Roman"/>
      <w:b/>
      <w:position w:val="4"/>
      <w:sz w:val="84"/>
      <w:szCs w:val="20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styleId="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312</Words>
  <Characters>1783</Characters>
  <Lines>14</Lines>
  <Paragraphs>4</Paragraphs>
  <TotalTime>7</TotalTime>
  <ScaleCrop>false</ScaleCrop>
  <LinksUpToDate>false</LinksUpToDate>
  <CharactersWithSpaces>2091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2025-03-05T07:32:00Z</dcterms:created>
  <dc:creator>GJRCB</dc:creator>
  <cp:lastModifiedBy>0076210</cp:lastModifiedBy>
  <cp:lastPrinted>2026-02-12T02:04:00Z</cp:lastPrinted>
  <dcterms:modified xsi:type="dcterms:W3CDTF">2026-04-20T09:33:31Z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992AF0ED54E34C1983FEB01B46785C74</vt:lpwstr>
  </property>
</Properties>
</file>