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创艺简标宋" w:hAnsi="微软雅黑" w:eastAsia="创艺简标宋" w:cs="宋体"/>
          <w:bCs/>
          <w:color w:val="222222"/>
          <w:kern w:val="0"/>
          <w:sz w:val="44"/>
          <w:szCs w:val="44"/>
        </w:rPr>
      </w:pPr>
      <w:bookmarkStart w:id="0" w:name="_GoBack"/>
      <w:bookmarkEnd w:id="0"/>
      <w:r>
        <w:rPr>
          <w:rFonts w:hint="eastAsia" w:ascii="创艺简标宋" w:hAnsi="微软雅黑" w:eastAsia="创艺简标宋" w:cs="宋体"/>
          <w:bCs/>
          <w:color w:val="222222"/>
          <w:kern w:val="0"/>
          <w:sz w:val="44"/>
          <w:szCs w:val="44"/>
        </w:rPr>
        <w:t>广东揭阳农村商业银行股份有限公司</w:t>
      </w:r>
    </w:p>
    <w:p>
      <w:pPr>
        <w:widowControl/>
        <w:shd w:val="clear" w:color="auto" w:fill="FFFFFF"/>
        <w:jc w:val="center"/>
        <w:rPr>
          <w:rFonts w:ascii="微软雅黑" w:hAnsi="微软雅黑" w:eastAsia="微软雅黑" w:cs="宋体"/>
          <w:b/>
          <w:bCs/>
          <w:color w:val="222222"/>
          <w:kern w:val="0"/>
          <w:sz w:val="44"/>
          <w:szCs w:val="44"/>
        </w:rPr>
      </w:pPr>
      <w:r>
        <w:rPr>
          <w:rFonts w:hint="eastAsia" w:ascii="创艺简标宋" w:hAnsi="微软雅黑" w:eastAsia="创艺简标宋" w:cs="宋体"/>
          <w:bCs/>
          <w:color w:val="222222"/>
          <w:kern w:val="0"/>
          <w:sz w:val="44"/>
          <w:szCs w:val="44"/>
        </w:rPr>
        <w:t>关于2026年第一季度关联交易情况的公告</w:t>
      </w:r>
    </w:p>
    <w:p>
      <w:pPr>
        <w:autoSpaceDE w:val="0"/>
        <w:autoSpaceDN w:val="0"/>
        <w:adjustRightInd w:val="0"/>
        <w:spacing w:line="540" w:lineRule="exact"/>
        <w:ind w:firstLine="640" w:firstLineChars="200"/>
        <w:rPr>
          <w:rFonts w:ascii="仿宋_GB2312" w:hAnsi="黑体" w:eastAsia="仿宋_GB2312" w:cs="Times New Roman"/>
          <w:sz w:val="32"/>
          <w:szCs w:val="32"/>
        </w:rPr>
      </w:pPr>
      <w:r>
        <w:rPr>
          <w:rFonts w:hint="eastAsia" w:ascii="仿宋_GB2312" w:hAnsi="Calibri" w:eastAsia="仿宋_GB2312" w:cs="Times New Roman"/>
          <w:sz w:val="32"/>
          <w:szCs w:val="32"/>
        </w:rPr>
        <w:t>根据《银行保险机构关联交易管理办法》的要求，广东揭</w:t>
      </w:r>
      <w:r>
        <w:rPr>
          <w:rFonts w:hint="eastAsia" w:ascii="仿宋_GB2312" w:eastAsia="仿宋_GB2312"/>
          <w:sz w:val="32"/>
          <w:szCs w:val="32"/>
        </w:rPr>
        <w:t>阳</w:t>
      </w:r>
      <w:r>
        <w:rPr>
          <w:rFonts w:hint="eastAsia" w:ascii="仿宋_GB2312" w:hAnsi="Calibri" w:eastAsia="仿宋_GB2312" w:cs="Times New Roman"/>
          <w:sz w:val="32"/>
          <w:szCs w:val="32"/>
        </w:rPr>
        <w:t>农村商业银行股份有限公司</w:t>
      </w:r>
      <w:r>
        <w:rPr>
          <w:rFonts w:ascii="仿宋_GB2312" w:hAnsi="Calibri" w:eastAsia="仿宋_GB2312" w:cs="Times New Roman"/>
          <w:sz w:val="32"/>
          <w:szCs w:val="32"/>
        </w:rPr>
        <w:t>(</w:t>
      </w:r>
      <w:r>
        <w:rPr>
          <w:rFonts w:hint="eastAsia" w:ascii="仿宋_GB2312" w:hAnsi="Calibri" w:eastAsia="仿宋_GB2312" w:cs="Times New Roman"/>
          <w:sz w:val="32"/>
          <w:szCs w:val="32"/>
        </w:rPr>
        <w:t>以下简称“本行”</w:t>
      </w:r>
      <w:r>
        <w:rPr>
          <w:rFonts w:ascii="仿宋_GB2312" w:hAnsi="Calibri" w:eastAsia="仿宋_GB2312" w:cs="Times New Roman"/>
          <w:sz w:val="32"/>
          <w:szCs w:val="32"/>
        </w:rPr>
        <w:t>)</w:t>
      </w:r>
      <w:r>
        <w:rPr>
          <w:rFonts w:hint="eastAsia" w:ascii="仿宋_GB2312" w:hAnsi="Calibri" w:eastAsia="仿宋_GB2312" w:cs="Times New Roman"/>
          <w:sz w:val="32"/>
          <w:szCs w:val="32"/>
        </w:rPr>
        <w:t>认真贯彻执行</w:t>
      </w:r>
      <w:r>
        <w:rPr>
          <w:rFonts w:hint="eastAsia" w:ascii="仿宋_GB2312" w:hAnsi="仿宋" w:eastAsia="仿宋_GB2312" w:cs="仿宋_GB2312"/>
          <w:color w:val="000000"/>
          <w:kern w:val="0"/>
          <w:sz w:val="32"/>
          <w:szCs w:val="32"/>
        </w:rPr>
        <w:t>关联交易管理制度</w:t>
      </w:r>
      <w:r>
        <w:rPr>
          <w:rFonts w:hint="eastAsia" w:ascii="仿宋_GB2312" w:hAnsi="Calibri" w:eastAsia="仿宋_GB2312" w:cs="Times New Roman"/>
          <w:sz w:val="32"/>
          <w:szCs w:val="32"/>
        </w:rPr>
        <w:t>各项</w:t>
      </w:r>
      <w:r>
        <w:rPr>
          <w:rFonts w:hint="eastAsia" w:ascii="仿宋_GB2312" w:eastAsia="仿宋_GB2312"/>
          <w:sz w:val="32"/>
          <w:szCs w:val="32"/>
        </w:rPr>
        <w:t>规定</w:t>
      </w:r>
      <w:r>
        <w:rPr>
          <w:rFonts w:hint="eastAsia" w:ascii="仿宋_GB2312" w:hAnsi="仿宋" w:eastAsia="仿宋_GB2312" w:cs="仿宋_GB2312"/>
          <w:color w:val="000000"/>
          <w:kern w:val="0"/>
          <w:sz w:val="32"/>
          <w:szCs w:val="32"/>
        </w:rPr>
        <w:t>。现将</w:t>
      </w:r>
      <w:r>
        <w:rPr>
          <w:rFonts w:ascii="仿宋_GB2312" w:hAnsi="Calibri" w:eastAsia="仿宋_GB2312" w:cs="Times New Roman"/>
          <w:sz w:val="32"/>
          <w:szCs w:val="32"/>
        </w:rPr>
        <w:t>20</w:t>
      </w:r>
      <w:r>
        <w:rPr>
          <w:rFonts w:ascii="仿宋_GB2312" w:eastAsia="仿宋_GB2312"/>
          <w:sz w:val="32"/>
          <w:szCs w:val="32"/>
        </w:rPr>
        <w:t>2</w:t>
      </w:r>
      <w:r>
        <w:rPr>
          <w:rFonts w:hint="eastAsia" w:ascii="仿宋_GB2312" w:eastAsia="仿宋_GB2312"/>
          <w:sz w:val="32"/>
          <w:szCs w:val="32"/>
        </w:rPr>
        <w:t>6</w:t>
      </w:r>
      <w:r>
        <w:rPr>
          <w:rFonts w:hint="eastAsia" w:ascii="仿宋_GB2312" w:hAnsi="Calibri" w:eastAsia="仿宋_GB2312" w:cs="Times New Roman"/>
          <w:sz w:val="32"/>
          <w:szCs w:val="32"/>
        </w:rPr>
        <w:t>年第一季度本行关联交易的</w:t>
      </w:r>
      <w:r>
        <w:rPr>
          <w:rFonts w:hint="eastAsia" w:ascii="仿宋_GB2312" w:hAnsi="仿宋" w:eastAsia="仿宋_GB2312" w:cs="仿宋_GB2312"/>
          <w:kern w:val="0"/>
          <w:sz w:val="32"/>
          <w:szCs w:val="32"/>
        </w:rPr>
        <w:t>情况公告如下：</w:t>
      </w:r>
    </w:p>
    <w:p>
      <w:pPr>
        <w:spacing w:line="5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一、关联交易发生情况</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本行需披露的关联交易1笔，金额9400万元。按交易属性划分，重大关联交易1笔，金额9400万元；一般关联交易0笔，金额0万元。按业务类型划分，授信类关联交易1笔，金额9400万元；存款类关联交易0笔，金额</w:t>
      </w:r>
      <w:r>
        <w:rPr>
          <w:rFonts w:hint="eastAsia" w:ascii="仿宋_GB2312" w:hAnsi="Calibri" w:eastAsia="仿宋_GB2312" w:cs="Times New Roman"/>
          <w:sz w:val="32"/>
          <w:szCs w:val="32"/>
        </w:rPr>
        <w:t>0</w:t>
      </w:r>
      <w:r>
        <w:rPr>
          <w:rFonts w:hint="eastAsia" w:ascii="仿宋_GB2312" w:hAnsi="仿宋_GB2312" w:eastAsia="仿宋_GB2312" w:cs="仿宋_GB2312"/>
          <w:sz w:val="32"/>
          <w:szCs w:val="32"/>
        </w:rPr>
        <w:t>万元。</w:t>
      </w:r>
    </w:p>
    <w:p>
      <w:pPr>
        <w:spacing w:line="54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二、关联余额控制</w:t>
      </w:r>
    </w:p>
    <w:p>
      <w:pPr>
        <w:autoSpaceDE w:val="0"/>
        <w:autoSpaceDN w:val="0"/>
        <w:adjustRightInd w:val="0"/>
        <w:spacing w:line="5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截至2026年一季度末，本行对单个关联方授信类关联交易最高余额9580万元，占本行2026年3月底资本净额175270.88万元的5.47%；对单个关联法人或其他组织所在集团客户的授信类关联交易最高余额为18980万元，占本行2026年3月底资本净额175270.88万元的10.83%；对全部关联方的授信类关联交易余额为20488.98万元，占本行2026年3月底资本净额175270.88万元的11.69%，各项关联交易指标符合相关规定。</w:t>
      </w:r>
    </w:p>
    <w:p>
      <w:pPr>
        <w:widowControl/>
        <w:shd w:val="clear" w:color="auto" w:fill="FFFFFF"/>
        <w:spacing w:line="540" w:lineRule="exact"/>
        <w:ind w:firstLine="645"/>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特此公告</w:t>
      </w:r>
    </w:p>
    <w:p>
      <w:pPr>
        <w:widowControl/>
        <w:shd w:val="clear" w:color="auto" w:fill="FFFFFF"/>
        <w:spacing w:line="540" w:lineRule="exact"/>
        <w:ind w:firstLine="645"/>
        <w:jc w:val="left"/>
        <w:rPr>
          <w:rFonts w:ascii="微软雅黑" w:hAnsi="微软雅黑" w:eastAsia="微软雅黑" w:cs="宋体"/>
          <w:color w:val="555555"/>
          <w:kern w:val="0"/>
          <w:szCs w:val="21"/>
        </w:rPr>
      </w:pPr>
    </w:p>
    <w:p>
      <w:pPr>
        <w:widowControl/>
        <w:shd w:val="clear" w:color="auto" w:fill="FFFFFF"/>
        <w:spacing w:line="540" w:lineRule="exact"/>
        <w:ind w:firstLine="2400"/>
        <w:jc w:val="right"/>
        <w:rPr>
          <w:rFonts w:ascii="微软雅黑" w:hAnsi="微软雅黑" w:eastAsia="微软雅黑" w:cs="宋体"/>
          <w:color w:val="555555"/>
          <w:kern w:val="0"/>
          <w:szCs w:val="21"/>
        </w:rPr>
      </w:pPr>
      <w:r>
        <w:rPr>
          <w:rFonts w:hint="eastAsia" w:ascii="仿宋_GB2312" w:hAnsi="微软雅黑" w:eastAsia="仿宋_GB2312" w:cs="宋体"/>
          <w:color w:val="000000"/>
          <w:kern w:val="0"/>
          <w:sz w:val="32"/>
          <w:szCs w:val="32"/>
        </w:rPr>
        <w:t>广东揭阳农村商业银行股份有限公司</w:t>
      </w:r>
    </w:p>
    <w:p>
      <w:pPr>
        <w:widowControl/>
        <w:shd w:val="clear" w:color="auto" w:fill="FFFFFF"/>
        <w:spacing w:line="540" w:lineRule="exact"/>
        <w:ind w:firstLine="3525"/>
        <w:jc w:val="center"/>
      </w:pPr>
      <w:r>
        <w:rPr>
          <w:rFonts w:hint="eastAsia" w:ascii="仿宋_GB2312" w:hAnsi="微软雅黑" w:eastAsia="仿宋_GB2312" w:cs="宋体"/>
          <w:color w:val="000000"/>
          <w:kern w:val="0"/>
          <w:sz w:val="32"/>
          <w:szCs w:val="32"/>
        </w:rPr>
        <w:t>2026年4月</w:t>
      </w:r>
      <w:r>
        <w:rPr>
          <w:rFonts w:ascii="仿宋_GB2312" w:hAnsi="微软雅黑" w:eastAsia="仿宋_GB2312" w:cs="宋体"/>
          <w:color w:val="000000"/>
          <w:kern w:val="0"/>
          <w:sz w:val="32"/>
          <w:szCs w:val="32"/>
        </w:rPr>
        <w:t>29</w:t>
      </w:r>
      <w:r>
        <w:rPr>
          <w:rFonts w:hint="eastAsia" w:ascii="仿宋_GB2312" w:hAnsi="微软雅黑" w:eastAsia="仿宋_GB2312" w:cs="宋体"/>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创艺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D4"/>
    <w:rsid w:val="00431F90"/>
    <w:rsid w:val="0046665E"/>
    <w:rsid w:val="004E7448"/>
    <w:rsid w:val="008A1FD4"/>
    <w:rsid w:val="00DC5BCE"/>
    <w:rsid w:val="00E87E7B"/>
    <w:rsid w:val="00F46770"/>
    <w:rsid w:val="029231E9"/>
    <w:rsid w:val="04EA56AD"/>
    <w:rsid w:val="09735503"/>
    <w:rsid w:val="0C025076"/>
    <w:rsid w:val="123F239E"/>
    <w:rsid w:val="17A553ED"/>
    <w:rsid w:val="1DC31733"/>
    <w:rsid w:val="1E4812AF"/>
    <w:rsid w:val="202F11CC"/>
    <w:rsid w:val="213945ED"/>
    <w:rsid w:val="217E1960"/>
    <w:rsid w:val="22E212B5"/>
    <w:rsid w:val="24157C9E"/>
    <w:rsid w:val="2CD30697"/>
    <w:rsid w:val="302B0608"/>
    <w:rsid w:val="310D33D3"/>
    <w:rsid w:val="32E8684E"/>
    <w:rsid w:val="335458B0"/>
    <w:rsid w:val="35557537"/>
    <w:rsid w:val="368B7F58"/>
    <w:rsid w:val="389C2210"/>
    <w:rsid w:val="40CC0131"/>
    <w:rsid w:val="42982F39"/>
    <w:rsid w:val="44250B8D"/>
    <w:rsid w:val="46386ACE"/>
    <w:rsid w:val="4CF90BA7"/>
    <w:rsid w:val="4FB820C4"/>
    <w:rsid w:val="53286C09"/>
    <w:rsid w:val="545D79FE"/>
    <w:rsid w:val="60C57509"/>
    <w:rsid w:val="6695025A"/>
    <w:rsid w:val="672A1E4D"/>
    <w:rsid w:val="68D61F11"/>
    <w:rsid w:val="69BC3208"/>
    <w:rsid w:val="6C4C3A0D"/>
    <w:rsid w:val="735A0038"/>
    <w:rsid w:val="75153821"/>
    <w:rsid w:val="772F4AC7"/>
    <w:rsid w:val="7E25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7"/>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批注框文本 字符"/>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438</Characters>
  <Lines>3</Lines>
  <Paragraphs>1</Paragraphs>
  <TotalTime>8</TotalTime>
  <ScaleCrop>false</ScaleCrop>
  <LinksUpToDate>false</LinksUpToDate>
  <CharactersWithSpaces>513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2023-08-28T02:21:00Z</dcterms:created>
  <dc:creator>GJRCB</dc:creator>
  <cp:lastModifiedBy>0076210</cp:lastModifiedBy>
  <cp:lastPrinted>2025-04-30T01:38:00Z</cp:lastPrinted>
  <dcterms:modified xsi:type="dcterms:W3CDTF">2026-04-29T03:51:15Z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0558FD6DB413490185635F781D7DA8C6</vt:lpwstr>
  </property>
</Properties>
</file>