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创艺简标宋" w:hAnsi="创艺简标宋" w:eastAsia="创艺简标宋" w:cs="创艺简标宋"/>
          <w:sz w:val="40"/>
          <w:szCs w:val="40"/>
          <w:lang w:val="en-US" w:eastAsia="zh-CN"/>
        </w:rPr>
      </w:pPr>
      <w:r>
        <w:rPr>
          <w:rFonts w:hint="eastAsia" w:ascii="创艺简标宋" w:hAnsi="创艺简标宋" w:eastAsia="创艺简标宋" w:cs="创艺简标宋"/>
          <w:sz w:val="40"/>
          <w:szCs w:val="40"/>
          <w:lang w:val="en-US" w:eastAsia="zh-CN"/>
        </w:rPr>
        <w:t>广东揭阳农村商业银行股份有限公司</w:t>
      </w:r>
    </w:p>
    <w:p>
      <w:pPr>
        <w:jc w:val="center"/>
        <w:rPr>
          <w:rFonts w:hint="eastAsia" w:ascii="创艺简标宋" w:hAnsi="创艺简标宋" w:eastAsia="创艺简标宋" w:cs="创艺简标宋"/>
          <w:sz w:val="36"/>
          <w:szCs w:val="36"/>
          <w:lang w:val="en-US" w:eastAsia="zh-CN"/>
        </w:rPr>
      </w:pPr>
      <w:r>
        <w:rPr>
          <w:rFonts w:hint="eastAsia" w:ascii="创艺简标宋" w:hAnsi="创艺简标宋" w:eastAsia="创艺简标宋" w:cs="创艺简标宋"/>
          <w:sz w:val="40"/>
          <w:szCs w:val="40"/>
          <w:lang w:val="en-US" w:eastAsia="zh-CN"/>
        </w:rPr>
        <w:t>个人贷款正常履约年化综合融资成本上限公示</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CESI小标宋-GB18030" w:hAnsi="CESI小标宋-GB18030" w:eastAsia="CESI小标宋-GB18030" w:cs="仿宋_GB2312"/>
          <w:color w:val="0F1115"/>
          <w:sz w:val="44"/>
          <w:szCs w:val="44"/>
          <w:shd w:val="clear" w:color="auto" w:fill="FFFFFF"/>
        </w:rPr>
      </w:pP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eastAsia="仿宋_GB2312"/>
          <w:sz w:val="32"/>
          <w:szCs w:val="32"/>
          <w:lang w:eastAsia="zh-CN"/>
        </w:rPr>
      </w:pPr>
      <w:r>
        <w:rPr>
          <w:rFonts w:hint="eastAsia" w:ascii="仿宋_GB2312" w:eastAsia="仿宋_GB2312"/>
          <w:sz w:val="32"/>
          <w:szCs w:val="32"/>
          <w:lang w:eastAsia="zh-CN"/>
        </w:rPr>
        <w:t>尊敬的客户：</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lang w:eastAsia="zh-CN"/>
        </w:rPr>
        <w:t>为切实保护金融消费者合法权益，提升金融服务质效，根据《个人贷款业务明示综合融资成本规定》（金规﹝</w:t>
      </w:r>
      <w:r>
        <w:rPr>
          <w:rFonts w:hint="eastAsia" w:ascii="仿宋_GB2312" w:eastAsia="仿宋_GB2312"/>
          <w:sz w:val="32"/>
          <w:szCs w:val="32"/>
          <w:lang w:val="en-US" w:eastAsia="zh-CN"/>
        </w:rPr>
        <w:t>2026</w:t>
      </w:r>
      <w:r>
        <w:rPr>
          <w:rFonts w:hint="eastAsia" w:ascii="仿宋_GB2312" w:eastAsia="仿宋_GB2312"/>
          <w:sz w:val="32"/>
          <w:szCs w:val="32"/>
          <w:lang w:eastAsia="zh-CN"/>
        </w:rPr>
        <w:t>﹞</w:t>
      </w:r>
      <w:r>
        <w:rPr>
          <w:rFonts w:hint="eastAsia" w:ascii="仿宋_GB2312" w:eastAsia="仿宋_GB2312"/>
          <w:sz w:val="32"/>
          <w:szCs w:val="32"/>
          <w:lang w:val="en-US" w:eastAsia="zh-CN"/>
        </w:rPr>
        <w:t>2号</w:t>
      </w:r>
      <w:r>
        <w:rPr>
          <w:rFonts w:hint="eastAsia" w:ascii="仿宋_GB2312" w:eastAsia="仿宋_GB2312"/>
          <w:sz w:val="32"/>
          <w:szCs w:val="32"/>
          <w:lang w:eastAsia="zh-CN"/>
        </w:rPr>
        <w:t>）等相关要求，我行现就正常履约情形下的个人贷款综合融资成本上限相关事项公示如下：</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lang w:eastAsia="zh-CN"/>
        </w:rPr>
        <w:t>我行发放的个人贷款实行差异化定价。正常履约情形下的个人贷款综合融资成本各息费项目均按中国人民银行有关规定折算为年化水平，且其加总水平不超过国家规定上限。其中，我行新发放个人贷款收取的贷款利息年化水平上</w:t>
      </w:r>
      <w:bookmarkStart w:id="0" w:name="_GoBack"/>
      <w:bookmarkEnd w:id="0"/>
      <w:r>
        <w:rPr>
          <w:rFonts w:hint="eastAsia" w:ascii="仿宋_GB2312" w:eastAsia="仿宋_GB2312"/>
          <w:sz w:val="32"/>
          <w:szCs w:val="32"/>
          <w:lang w:eastAsia="zh-CN"/>
        </w:rPr>
        <w:t>限分别如下：</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一、</w:t>
      </w:r>
      <w:r>
        <w:rPr>
          <w:rFonts w:hint="eastAsia" w:ascii="仿宋_GB2312" w:eastAsia="仿宋_GB2312"/>
          <w:sz w:val="32"/>
          <w:szCs w:val="32"/>
          <w:lang w:eastAsia="zh-CN"/>
        </w:rPr>
        <w:t>个人消费贷款（不含信用卡贷款）年化利率上限为</w:t>
      </w:r>
      <w:r>
        <w:rPr>
          <w:rFonts w:hint="eastAsia" w:ascii="仿宋_GB2312" w:eastAsia="仿宋_GB2312"/>
          <w:sz w:val="32"/>
          <w:szCs w:val="32"/>
          <w:lang w:val="en-US" w:eastAsia="zh-CN"/>
        </w:rPr>
        <w:t>6.8%；</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textAlignment w:val="auto"/>
        <w:rPr>
          <w:rFonts w:hint="default" w:ascii="仿宋_GB2312" w:eastAsia="仿宋_GB2312"/>
          <w:sz w:val="32"/>
          <w:szCs w:val="32"/>
          <w:lang w:val="en-US" w:eastAsia="zh-CN"/>
        </w:rPr>
      </w:pPr>
      <w:r>
        <w:rPr>
          <w:rFonts w:hint="eastAsia" w:ascii="仿宋_GB2312" w:eastAsia="仿宋_GB2312"/>
          <w:sz w:val="32"/>
          <w:szCs w:val="32"/>
          <w:lang w:val="en-US" w:eastAsia="zh-CN"/>
        </w:rPr>
        <w:t>二、个人经营贷款年化利率上限为6.5%；</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textAlignment w:val="auto"/>
        <w:rPr>
          <w:rFonts w:hint="default" w:ascii="仿宋_GB2312" w:eastAsia="仿宋_GB2312"/>
          <w:sz w:val="32"/>
          <w:szCs w:val="32"/>
          <w:lang w:val="en-US" w:eastAsia="zh-CN"/>
        </w:rPr>
      </w:pPr>
      <w:r>
        <w:rPr>
          <w:rFonts w:hint="eastAsia" w:ascii="仿宋_GB2312" w:eastAsia="仿宋_GB2312"/>
          <w:sz w:val="32"/>
          <w:szCs w:val="32"/>
          <w:lang w:val="en-US" w:eastAsia="zh-CN"/>
        </w:rPr>
        <w:t>三、个人住房按揭贷款，五年期（含）以下年化利率上限为1年期LPR+1.25%,五年期以上年化利率上限为5年期以上LPR+0.8%。</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textAlignment w:val="auto"/>
        <w:rPr>
          <w:rFonts w:hint="default" w:ascii="仿宋_GB2312" w:eastAsia="仿宋_GB2312"/>
          <w:sz w:val="32"/>
          <w:szCs w:val="32"/>
          <w:lang w:val="en-US" w:eastAsia="zh-CN"/>
        </w:rPr>
      </w:pPr>
      <w:r>
        <w:rPr>
          <w:rFonts w:hint="eastAsia" w:ascii="仿宋_GB2312" w:eastAsia="仿宋_GB2312"/>
          <w:sz w:val="32"/>
          <w:szCs w:val="32"/>
          <w:lang w:val="en-US" w:eastAsia="zh-CN"/>
        </w:rPr>
        <w:t>（注：以上为利率上限，具体贷款利率以客户与我行签署的借款合同约定的贷款利率为准。）</w:t>
      </w:r>
      <w:r>
        <w:rPr>
          <w:rFonts w:hint="eastAsia" w:ascii="仿宋_GB2312" w:eastAsia="仿宋_GB2312"/>
          <w:sz w:val="32"/>
          <w:szCs w:val="32"/>
          <w:lang w:val="en-US" w:eastAsia="zh-CN"/>
        </w:rPr>
        <w:tab/>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ascii="仿宋_GB2312" w:eastAsia="仿宋_GB2312"/>
          <w:sz w:val="32"/>
          <w:szCs w:val="32"/>
        </w:rPr>
      </w:pPr>
      <w:r>
        <w:rPr>
          <w:rFonts w:hint="eastAsia" w:ascii="仿宋_GB2312" w:eastAsia="仿宋_GB2312"/>
          <w:sz w:val="32"/>
          <w:szCs w:val="32"/>
        </w:rPr>
        <w:t>本</w:t>
      </w:r>
      <w:r>
        <w:rPr>
          <w:rFonts w:hint="eastAsia" w:ascii="仿宋_GB2312" w:eastAsia="仿宋_GB2312"/>
          <w:sz w:val="32"/>
          <w:szCs w:val="32"/>
          <w:lang w:eastAsia="zh-CN"/>
        </w:rPr>
        <w:t>公示自</w:t>
      </w:r>
      <w:r>
        <w:rPr>
          <w:rFonts w:hint="eastAsia" w:ascii="仿宋_GB2312" w:eastAsia="仿宋_GB2312"/>
          <w:sz w:val="32"/>
          <w:szCs w:val="32"/>
          <w:lang w:val="en-US" w:eastAsia="zh-CN"/>
        </w:rPr>
        <w:t>2026年8月1日起执行。相关事项发生变动的，我行将另行公示。</w:t>
      </w:r>
      <w:r>
        <w:rPr>
          <w:rFonts w:hint="eastAsia" w:ascii="仿宋_GB2312" w:eastAsia="仿宋_GB2312"/>
          <w:sz w:val="32"/>
          <w:szCs w:val="32"/>
        </w:rPr>
        <w:t>若您有相关咨询和疑问，请咨询贷款业务办理网点或拨打客服热线</w:t>
      </w:r>
      <w:r>
        <w:rPr>
          <w:rFonts w:ascii="仿宋_GB2312" w:eastAsia="仿宋_GB2312"/>
          <w:sz w:val="32"/>
          <w:szCs w:val="32"/>
        </w:rPr>
        <w:t>96138</w:t>
      </w:r>
      <w:r>
        <w:rPr>
          <w:rFonts w:hint="eastAsia" w:ascii="仿宋_GB2312"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ascii="仿宋_GB2312" w:eastAsia="仿宋_GB2312"/>
          <w:sz w:val="32"/>
          <w:szCs w:val="32"/>
        </w:rPr>
      </w:pP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right"/>
        <w:textAlignment w:val="auto"/>
        <w:rPr>
          <w:rFonts w:hint="default" w:ascii="仿宋_GB2312" w:eastAsia="仿宋_GB2312"/>
          <w:sz w:val="32"/>
          <w:szCs w:val="32"/>
          <w:lang w:val="en-US" w:eastAsia="zh-CN"/>
        </w:rPr>
      </w:pPr>
      <w:r>
        <w:rPr>
          <w:rFonts w:hint="eastAsia" w:ascii="仿宋_GB2312" w:eastAsia="仿宋_GB2312"/>
          <w:sz w:val="32"/>
          <w:szCs w:val="32"/>
        </w:rPr>
        <w:t>广东揭阳农村商业银行</w:t>
      </w:r>
      <w:r>
        <w:rPr>
          <w:rFonts w:hint="eastAsia" w:ascii="仿宋_GB2312" w:eastAsia="仿宋_GB2312"/>
          <w:sz w:val="32"/>
          <w:szCs w:val="32"/>
          <w:lang w:val="en-US" w:eastAsia="zh-CN"/>
        </w:rPr>
        <w:t>股份有限公司</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left"/>
        <w:textAlignment w:val="auto"/>
        <w:rPr>
          <w:rFonts w:ascii="仿宋_GB2312" w:eastAsia="仿宋_GB2312"/>
          <w:sz w:val="32"/>
          <w:szCs w:val="32"/>
        </w:rPr>
      </w:pPr>
      <w:r>
        <w:rPr>
          <w:rFonts w:hint="eastAsia" w:ascii="仿宋_GB2312" w:eastAsia="仿宋_GB2312"/>
          <w:sz w:val="32"/>
          <w:szCs w:val="32"/>
          <w:lang w:val="en-US" w:eastAsia="zh-CN"/>
        </w:rPr>
        <w:t xml:space="preserve">                        </w:t>
      </w:r>
      <w:r>
        <w:rPr>
          <w:rFonts w:hint="eastAsia" w:ascii="仿宋_GB2312" w:eastAsia="仿宋_GB2312"/>
          <w:sz w:val="32"/>
          <w:szCs w:val="32"/>
        </w:rPr>
        <w:t>2026年7月3</w:t>
      </w:r>
      <w:r>
        <w:rPr>
          <w:rFonts w:ascii="仿宋_GB2312" w:eastAsia="仿宋_GB2312"/>
          <w:sz w:val="32"/>
          <w:szCs w:val="32"/>
        </w:rPr>
        <w:t>1</w:t>
      </w:r>
      <w:r>
        <w:rPr>
          <w:rFonts w:hint="eastAsia" w:ascii="仿宋_GB2312" w:eastAsia="仿宋_GB2312"/>
          <w:sz w:val="32"/>
          <w:szCs w:val="32"/>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创艺简标宋">
    <w:panose1 w:val="00000000000000000000"/>
    <w:charset w:val="00"/>
    <w:family w:val="auto"/>
    <w:pitch w:val="default"/>
    <w:sig w:usb0="00000000" w:usb1="00000000" w:usb2="00000000" w:usb3="00000000" w:csb0="00000000" w:csb1="00000000"/>
  </w:font>
  <w:font w:name="CESI小标宋-GB18030">
    <w:altName w:val="宋体"/>
    <w:panose1 w:val="02000500000000000000"/>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3"/>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10DF"/>
    <w:rsid w:val="00A00230"/>
    <w:rsid w:val="00B136D8"/>
    <w:rsid w:val="00B676F6"/>
    <w:rsid w:val="00B85FEA"/>
    <w:rsid w:val="00C76B52"/>
    <w:rsid w:val="00DA10DF"/>
    <w:rsid w:val="00DC3E8E"/>
    <w:rsid w:val="00FB6F40"/>
    <w:rsid w:val="12E528D8"/>
    <w:rsid w:val="697405F1"/>
    <w:rsid w:val="7D6D5C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qFormat/>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2">
    <w:name w:val="Normal (Web)"/>
    <w:basedOn w:val="1"/>
    <w:qFormat/>
    <w:uiPriority w:val="0"/>
    <w:pPr>
      <w:spacing w:after="160" w:line="278" w:lineRule="auto"/>
      <w:jc w:val="left"/>
    </w:pPr>
    <w:rPr>
      <w:sz w:val="24"/>
      <w:szCs w:val="24"/>
      <w14:ligatures w14:val="standardContextual"/>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111</Words>
  <Characters>634</Characters>
  <Lines>5</Lines>
  <Paragraphs>1</Paragraphs>
  <TotalTime>8</TotalTime>
  <ScaleCrop>false</ScaleCrop>
  <LinksUpToDate>false</LinksUpToDate>
  <CharactersWithSpaces>744</CharactersWithSpaces>
  <Application>WPS Office_11.8.2.9022_F1E327BC-269C-435d-A152-05C5408002CA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2026-07-31T06:13:00Z</dcterms:created>
  <dc:creator>张树彬</dc:creator>
  <cp:lastModifiedBy>0076210</cp:lastModifiedBy>
  <dcterms:modified xsi:type="dcterms:W3CDTF">2026-08-06T06:57:18Z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y fmtid="{D5CDD505-2E9C-101B-9397-08002B2CF9AE}" pid="3" name="ICV">
    <vt:lpwstr>FF39B18A293C47B28005219D0B02B31D</vt:lpwstr>
  </property>
</Properties>
</file>